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ind w:right="0"/>
        <w:jc w:val="center"/>
        <w:keepLines w:val="0"/>
        <w:keepNext w:val="0"/>
        <w:pageBreakBefore/>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mc:AlternateContent>
          <mc:Choice Requires="wpg">
            <w:drawing>
              <wp:inline xmlns:wp="http://schemas.openxmlformats.org/drawingml/2006/wordprocessingDrawing" distT="0" distB="0" distL="0" distR="0">
                <wp:extent cx="6188240" cy="875112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8240" cy="8751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7.3pt;height:689.1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
          <w:bCs/>
          <w:sz w:val="36"/>
          <w:szCs w:val="36"/>
          <w:highlight w:val="none"/>
          <w:lang w:val="en-US" w:eastAsia="zh-CN"/>
        </w:rPr>
        <w:t xml:space="preserve">目  录</w:t>
      </w:r>
      <w:r>
        <w:rPr>
          <w:rFonts w:hint="eastAsia" w:ascii="宋体" w:hAnsi="宋体" w:eastAsia="宋体" w:cs="宋体"/>
          <w:b/>
          <w:bCs/>
          <w:sz w:val="36"/>
          <w:szCs w:val="36"/>
          <w:highlight w:val="none"/>
          <w:lang w:val="en-US" w:eastAsia="zh-CN"/>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63"/>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rPr>
          <w:rFonts w:hint="eastAsia" w:ascii="宋体" w:hAnsi="宋体" w:eastAsia="宋体" w:cs="宋体"/>
          <w:b/>
          <w:sz w:val="44"/>
          <w:szCs w:val="44"/>
          <w:highlight w:val="none"/>
        </w:rPr>
      </w:r>
      <w:r/>
    </w:p>
    <w:p>
      <w:pPr>
        <w:pStyle w:val="663"/>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pStyle w:val="663"/>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0"/>
      <w:r>
        <w:rPr>
          <w:rFonts w:hint="eastAsia" w:ascii="宋体" w:hAnsi="宋体" w:eastAsia="宋体" w:cs="宋体"/>
          <w:b/>
          <w:bCs/>
          <w:sz w:val="32"/>
          <w:szCs w:val="32"/>
          <w:highlight w:val="none"/>
        </w:rPr>
      </w:r>
      <w:r/>
    </w:p>
    <w:tbl>
      <w:tblPr>
        <w:tblStyle w:val="694"/>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725"/>
      </w:tblGrid>
      <w:tr>
        <w:trPr/>
        <w:tc>
          <w:tcPr>
            <w:tcW w:w="9725" w:type="dxa"/>
            <w:vAlign w:val="top"/>
            <w:textDirection w:val="lrTb"/>
            <w:noWrap w:val="false"/>
          </w:tcPr>
          <w:p>
            <w:pPr>
              <w:pStyle w:val="663"/>
              <w:ind w:right="0"/>
              <w:jc w:val="left"/>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项目概况</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663"/>
              <w:ind w:right="0" w:firstLine="480"/>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u w:val="single"/>
                <w:lang w:eastAsia="zh-CN"/>
              </w:rPr>
              <w:t xml:space="preserve">开发区专职消防队消防设备、器材采购项目JSZC-320831-SWGS-G2026-0002</w:t>
            </w:r>
            <w:r>
              <w:rPr>
                <w:rFonts w:hint="eastAsia" w:ascii="宋体" w:hAnsi="宋体" w:eastAsia="宋体" w:cs="宋体"/>
                <w:sz w:val="24"/>
                <w:szCs w:val="24"/>
              </w:rPr>
              <w:t xml:space="preserve">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2026-2-5 9:00</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rPr>
              <w:t xml:space="preserve">前提交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rPr>
                <w:rFonts w:hint="eastAsia" w:ascii="宋体" w:hAnsi="宋体" w:eastAsia="宋体" w:cs="宋体"/>
                <w:b/>
                <w:bCs/>
                <w:sz w:val="24"/>
                <w:szCs w:val="24"/>
              </w:rPr>
            </w:r>
            <w:r/>
          </w:p>
        </w:tc>
      </w:tr>
    </w:tbl>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rPr>
          <w:rFonts w:hint="eastAsia" w:ascii="宋体" w:hAnsi="宋体" w:eastAsia="宋体" w:cs="宋体"/>
          <w:b/>
          <w:bCs/>
          <w:sz w:val="24"/>
          <w:szCs w:val="24"/>
          <w:highlight w:val="none"/>
        </w:rPr>
      </w:r>
      <w:r/>
    </w:p>
    <w:p>
      <w:pPr>
        <w:pStyle w:val="663"/>
        <w:ind w:right="0" w:firstLine="484"/>
        <w:jc w:val="left"/>
        <w:keepLines w:val="0"/>
        <w:keepNext w:val="0"/>
        <w:pageBreakBefore w:val="0"/>
        <w:spacing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：JSZC-320831-SWGS-G2026-0002</w:t>
      </w:r>
      <w:r>
        <w:rPr>
          <w:rFonts w:ascii="宋体" w:hAnsi="宋体" w:eastAsia="宋体" w:cs="宋体"/>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开发区专职消防队消防设备、器材采购项目</w:t>
      </w:r>
      <w:r>
        <w:rPr>
          <w:rFonts w:hint="eastAsia" w:ascii="宋体" w:hAnsi="宋体" w:eastAsia="宋体" w:cs="宋体"/>
          <w:bCs/>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pacing w:val="-6"/>
          <w:sz w:val="24"/>
          <w:szCs w:val="24"/>
          <w:highlight w:val="none"/>
          <w:lang w:val="en-US" w:eastAsia="zh-CN"/>
        </w:rPr>
        <w:t xml:space="preserve">：195万元（采购包1:98</w:t>
      </w:r>
      <w:r>
        <w:rPr>
          <w:rFonts w:hint="eastAsia" w:ascii="宋体" w:hAnsi="宋体" w:eastAsia="宋体" w:cs="宋体"/>
          <w:sz w:val="24"/>
          <w:szCs w:val="24"/>
          <w:highlight w:val="none"/>
          <w:lang w:val="en-US" w:eastAsia="zh-CN"/>
        </w:rPr>
        <w:t xml:space="preserve">万元；采购包2:97万元）</w:t>
      </w:r>
      <w:r>
        <w:rPr>
          <w:rFonts w:hint="eastAsia" w:ascii="宋体" w:hAnsi="宋体" w:eastAsia="宋体" w:cs="宋体"/>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w:t>
      </w:r>
      <w:r>
        <w:rPr>
          <w:rFonts w:hint="eastAsia" w:ascii="宋体" w:hAnsi="宋体" w:eastAsia="宋体" w:cs="宋体"/>
          <w:sz w:val="24"/>
          <w:szCs w:val="24"/>
          <w:highlight w:val="none"/>
          <w:lang w:val="en-US" w:eastAsia="zh-CN"/>
        </w:rPr>
        <w:t xml:space="preserve">195万元（采购包1:98万元；采购包2:97万元）。报价</w:t>
      </w:r>
      <w:r>
        <w:rPr>
          <w:rFonts w:hint="eastAsia" w:ascii="宋体" w:hAnsi="宋体" w:eastAsia="宋体" w:cs="宋体"/>
          <w:sz w:val="24"/>
          <w:szCs w:val="24"/>
          <w:highlight w:val="none"/>
          <w:lang w:val="en-US"/>
        </w:rPr>
        <w:t xml:space="preserve">不得超过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lang w:val="en-US"/>
        </w:rPr>
        <w:t xml:space="preserve">，否则作废标处理。</w:t>
      </w:r>
      <w:r>
        <w:rPr>
          <w:rFonts w:hint="eastAsia" w:ascii="宋体" w:hAnsi="宋体" w:eastAsia="宋体" w:cs="宋体"/>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采购基本消防器材，特种消防器材、通讯装备等。具体详见第</w:t>
      </w:r>
      <w:r>
        <w:rPr>
          <w:rFonts w:hint="eastAsia" w:ascii="宋体" w:hAnsi="宋体" w:eastAsia="宋体" w:cs="宋体"/>
          <w:sz w:val="24"/>
          <w:szCs w:val="24"/>
          <w:highlight w:val="none"/>
          <w:lang w:val="en-US" w:eastAsia="zh-CN"/>
        </w:rPr>
        <w:t xml:space="preserve">五章“项目采购需求”。</w:t>
      </w:r>
      <w:r>
        <w:rPr>
          <w:rFonts w:hint="eastAsia" w:ascii="宋体" w:hAnsi="宋体" w:eastAsia="宋体" w:cs="宋体"/>
          <w:sz w:val="24"/>
          <w:szCs w:val="24"/>
          <w:highlight w:val="none"/>
        </w:rPr>
      </w:r>
      <w:r/>
    </w:p>
    <w:p>
      <w:pPr>
        <w:pStyle w:val="663"/>
        <w:ind w:right="0" w:firstLine="480"/>
        <w:keepLines w:val="0"/>
        <w:keepNext w:val="0"/>
        <w:pageBreakBefore w:val="0"/>
        <w:spacing w:line="50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供货期限</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highlight w:val="none"/>
          <w:lang w:val="en-US"/>
        </w:rPr>
        <w:t xml:space="preserve">合同签订后</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rPr>
        <w:t xml:space="preserve">天内</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lang w:val="en-US"/>
        </w:rPr>
        <w:t xml:space="preserve">完毕并验收合格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eastAsia="zh-CN"/>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二、申请人的资格要求（适用各个采购包）</w:t>
      </w:r>
      <w:r>
        <w:rPr>
          <w:rFonts w:hint="eastAsia" w:ascii="宋体" w:hAnsi="宋体" w:eastAsia="宋体" w:cs="宋体"/>
          <w:b/>
          <w:bCs/>
          <w:sz w:val="24"/>
          <w:szCs w:val="24"/>
          <w:highlight w:val="none"/>
          <w:lang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sz w:val="24"/>
          <w:szCs w:val="24"/>
          <w:highlight w:val="none"/>
          <w:lang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lang w:val="en-US" w:eastAsia="zh-CN"/>
        </w:rPr>
      </w:r>
      <w:r/>
    </w:p>
    <w:p>
      <w:pPr>
        <w:pStyle w:val="663"/>
        <w:ind w:right="0" w:firstLine="482"/>
        <w:jc w:val="left"/>
        <w:keepLines w:val="0"/>
        <w:keepNext w:val="0"/>
        <w:pageBreakBefore w:val="0"/>
        <w:spacing w:line="5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rPr>
          <w:rFonts w:hint="eastAsia" w:ascii="宋体" w:hAnsi="宋体" w:eastAsia="宋体" w:cs="宋体"/>
          <w:highlight w:val="none"/>
        </w:rPr>
      </w:r>
      <w:r/>
    </w:p>
    <w:p>
      <w:pPr>
        <w:pStyle w:val="663"/>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rPr>
          <w:rFonts w:hint="eastAsia" w:ascii="宋体" w:hAnsi="宋体" w:eastAsia="宋体" w:cs="宋体"/>
          <w:sz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4"/>
          <w:highlight w:val="none"/>
        </w:rPr>
      </w:r>
      <w:r/>
    </w:p>
    <w:p>
      <w:pPr>
        <w:pStyle w:val="700"/>
        <w:ind w:right="0" w:firstLine="468"/>
        <w:jc w:val="left"/>
        <w:keepLines w:val="0"/>
        <w:keepNext w:val="0"/>
        <w:pageBreakBefore w:val="0"/>
        <w:spacing w:before="0" w:after="0" w:line="5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rPr>
          <w:rFonts w:hint="eastAsia" w:ascii="宋体" w:hAnsi="宋体" w:eastAsia="宋体" w:cs="宋体"/>
          <w:highlight w:val="none"/>
          <w:lang w:val="en-US" w:eastAsia="zh-CN"/>
        </w:rPr>
      </w:r>
      <w:r/>
    </w:p>
    <w:p>
      <w:pPr>
        <w:pStyle w:val="781"/>
        <w:ind w:right="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rPr>
          <w:rFonts w:hint="eastAsia" w:ascii="宋体" w:hAnsi="宋体" w:eastAsia="宋体" w:cs="宋体"/>
          <w:b/>
          <w:bCs/>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6-2-5    </w:t>
      </w:r>
      <w:r>
        <w:rPr>
          <w:rFonts w:hint="eastAsia" w:ascii="宋体" w:hAnsi="宋体" w:eastAsia="宋体" w:cs="宋体"/>
          <w:szCs w:val="24"/>
          <w:highlight w:val="none"/>
          <w:lang w:val="en-US"/>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rPr>
          <w:rFonts w:hint="eastAsia" w:ascii="宋体" w:hAnsi="宋体" w:eastAsia="宋体" w:cs="宋体"/>
          <w:szCs w:val="24"/>
          <w:highlight w:val="none"/>
          <w:lang w:val="en-US"/>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rPr>
          <w:rFonts w:hint="eastAsia" w:ascii="宋体" w:hAnsi="宋体" w:eastAsia="宋体" w:cs="宋体"/>
          <w:b/>
          <w:bCs/>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rPr>
          <w:rFonts w:hint="eastAsia" w:ascii="宋体" w:hAnsi="宋体" w:eastAsia="宋体" w:cs="宋体"/>
          <w:b/>
          <w:bCs/>
          <w:sz w:val="24"/>
          <w:szCs w:val="24"/>
          <w:highlight w:val="none"/>
        </w:rPr>
      </w:r>
      <w:r/>
    </w:p>
    <w:p>
      <w:pPr>
        <w:pStyle w:val="685"/>
        <w:ind w:left="0" w:right="0" w:firstLine="480"/>
        <w:jc w:val="left"/>
        <w:keepLines w:val="0"/>
        <w:keepNext w:val="0"/>
        <w:pageBreakBefore w:val="0"/>
        <w:spacing w:line="500" w:lineRule="exact"/>
        <w:widowControl w:val="off"/>
        <w:tabs>
          <w:tab w:val="center" w:pos="4153" w:leader="none"/>
          <w:tab w:val="right" w:pos="8306" w:leader="none"/>
        </w:tabs>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投标投标人</w:t>
      </w:r>
      <w:r>
        <w:rPr>
          <w:rFonts w:hint="eastAsia" w:ascii="宋体" w:hAnsi="宋体" w:eastAsia="宋体" w:cs="宋体"/>
          <w:sz w:val="24"/>
          <w:szCs w:val="24"/>
          <w:highlight w:val="none"/>
          <w:lang w:val="en-US"/>
        </w:rPr>
        <w:t xml:space="preserve">自负。</w:t>
      </w:r>
      <w:r>
        <w:rPr>
          <w:rFonts w:hint="eastAsia" w:ascii="宋体" w:hAnsi="宋体" w:eastAsia="宋体" w:cs="宋体"/>
          <w:sz w:val="24"/>
          <w:szCs w:val="24"/>
          <w:highlight w:val="none"/>
          <w:lang w:val="en-US"/>
        </w:rPr>
      </w:r>
      <w:r/>
    </w:p>
    <w:p>
      <w:pPr>
        <w:pStyle w:val="685"/>
        <w:ind w:left="0" w:right="0" w:firstLine="480"/>
        <w:jc w:val="left"/>
        <w:keepLines w:val="0"/>
        <w:keepNext w:val="0"/>
        <w:pageBreakBefore w:val="0"/>
        <w:spacing w:line="500" w:lineRule="exact"/>
        <w:widowControl w:val="off"/>
        <w:tabs>
          <w:tab w:val="center" w:pos="4153" w:leader="none"/>
          <w:tab w:val="right" w:pos="8306" w:leader="none"/>
        </w:tabs>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rPr>
          <w:rFonts w:hint="eastAsia" w:ascii="宋体" w:hAnsi="宋体" w:eastAsia="宋体" w:cs="宋体"/>
          <w:sz w:val="24"/>
          <w:szCs w:val="24"/>
          <w:highlight w:val="none"/>
          <w:lang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rPr>
          <w:rFonts w:hint="eastAsia" w:ascii="宋体" w:hAnsi="宋体" w:eastAsia="宋体" w:cs="宋体"/>
          <w:b/>
          <w:bCs/>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参照苏政采协【2024】20号文件规定标准的80%</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代理费。此费用包含在投标报价中，不单独列项。（无法计算中标总额的项目，按预算总价计算）</w:t>
      </w:r>
      <w:r>
        <w:rPr>
          <w:rFonts w:hint="eastAsia" w:ascii="宋体" w:hAnsi="宋体" w:eastAsia="宋体" w:cs="宋体"/>
          <w:szCs w:val="24"/>
          <w:highlight w:val="none"/>
          <w:lang w:val="en-US"/>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eastAsia="宋体" w:cs="宋体"/>
          <w:b/>
          <w:bCs/>
          <w:highlight w:val="none"/>
          <w:u w:val="single"/>
          <w:lang w:val="en-US" w:eastAsia="zh-CN"/>
        </w:rPr>
        <w:t xml:space="preserve">其他未列明行业</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z/ee/ee3a4bc5a3454aa2b0d9312230633ce9.html。</w:t>
      </w:r>
      <w:r>
        <w:rPr>
          <w:rFonts w:hint="eastAsia" w:ascii="宋体" w:hAnsi="宋体" w:eastAsia="宋体" w:cs="宋体"/>
          <w:highlight w:val="none"/>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rPr>
          <w:rFonts w:hint="eastAsia" w:ascii="宋体" w:hAnsi="宋体" w:eastAsia="宋体" w:cs="宋体"/>
          <w:highlight w:val="none"/>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rPr>
          <w:rFonts w:hint="eastAsia" w:ascii="宋体" w:hAnsi="宋体" w:eastAsia="宋体" w:cs="宋体"/>
          <w:highlight w:val="none"/>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八、凡</w:t>
      </w:r>
      <w:r>
        <w:rPr>
          <w:rFonts w:hint="eastAsia" w:ascii="宋体" w:hAnsi="宋体" w:eastAsia="宋体" w:cs="宋体"/>
          <w:b/>
          <w:bCs/>
          <w:sz w:val="24"/>
          <w:szCs w:val="24"/>
          <w:highlight w:val="none"/>
        </w:rPr>
        <w:t xml:space="preserve">对本次采购提出询问，请按以下方式联系。</w:t>
      </w:r>
      <w:r>
        <w:rPr>
          <w:rFonts w:hint="eastAsia" w:ascii="宋体" w:hAnsi="宋体" w:eastAsia="宋体" w:cs="宋体"/>
          <w:b/>
          <w:bCs/>
          <w:sz w:val="24"/>
          <w:szCs w:val="24"/>
          <w:highlight w:val="none"/>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rPr>
          <w:rFonts w:hint="eastAsia" w:ascii="宋体" w:hAnsi="宋体" w:eastAsia="宋体" w:cs="宋体"/>
          <w:szCs w:val="24"/>
          <w:highlight w:val="none"/>
          <w:lang w:val="en-US"/>
        </w:rPr>
      </w:r>
      <w:r/>
    </w:p>
    <w:p>
      <w:pPr>
        <w:pStyle w:val="663"/>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江苏金湖经济开发区管理委员会</w:t>
      </w:r>
      <w:r>
        <w:rPr>
          <w:rFonts w:hint="eastAsia"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单位地址：江苏省淮安市金湖县金湖西路188号</w:t>
      </w:r>
      <w:r>
        <w:rPr>
          <w:rFonts w:hint="eastAsia"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联系人：盛金春</w:t>
      </w:r>
      <w:r>
        <w:rPr>
          <w:rFonts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联系电话：18262704603</w:t>
      </w:r>
      <w:r>
        <w:rPr>
          <w:rFonts w:ascii="宋体" w:hAnsi="宋体" w:eastAsia="宋体" w:cs="宋体"/>
          <w:sz w:val="24"/>
          <w:highlight w:val="none"/>
          <w:lang w:val="en-US" w:eastAsia="zh-CN"/>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rPr>
          <w:rFonts w:hint="eastAsia" w:ascii="宋体" w:hAnsi="宋体" w:eastAsia="宋体" w:cs="宋体"/>
          <w:szCs w:val="24"/>
          <w:highlight w:val="none"/>
          <w:lang w:val="en-US" w:eastAsia="zh-CN"/>
        </w:rPr>
      </w:r>
      <w:r/>
    </w:p>
    <w:p>
      <w:pPr>
        <w:pStyle w:val="690"/>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金湖县金湖西路利达大厦三单元407室</w:t>
      </w:r>
      <w:r>
        <w:rPr>
          <w:rFonts w:hint="eastAsia" w:ascii="宋体" w:hAnsi="宋体" w:eastAsia="宋体" w:cs="宋体"/>
          <w:szCs w:val="24"/>
          <w:highlight w:val="none"/>
          <w:lang w:val="en-US"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0517-86898966</w:t>
      </w:r>
      <w:r>
        <w:rPr>
          <w:rFonts w:hint="eastAsia" w:ascii="宋体" w:hAnsi="宋体" w:eastAsia="宋体" w:cs="宋体"/>
          <w:szCs w:val="24"/>
          <w:highlight w:val="none"/>
          <w:lang w:val="en-US" w:eastAsia="zh-CN"/>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bCs/>
          <w:sz w:val="32"/>
          <w:szCs w:val="32"/>
          <w:highlight w:val="none"/>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0517-86898966</w:t>
      </w:r>
      <w:r>
        <w:rPr>
          <w:rFonts w:hint="eastAsia" w:ascii="宋体" w:hAnsi="宋体" w:eastAsia="宋体" w:cs="宋体"/>
          <w:bCs/>
          <w:sz w:val="32"/>
          <w:szCs w:val="32"/>
          <w:highlight w:val="none"/>
        </w:rPr>
      </w:r>
      <w:r/>
    </w:p>
    <w:p>
      <w:pPr>
        <w:pStyle w:val="663"/>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1"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1"/>
      <w:r>
        <w:rPr>
          <w:rFonts w:hint="eastAsia" w:ascii="宋体" w:hAnsi="宋体" w:eastAsia="宋体" w:cs="宋体"/>
          <w:b/>
          <w:bCs/>
          <w:sz w:val="32"/>
          <w:szCs w:val="32"/>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lang w:eastAsia="zh-CN"/>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eastAsia="宋体" w:cs="宋体"/>
          <w:bCs/>
          <w:sz w:val="24"/>
          <w:szCs w:val="24"/>
          <w:highlight w:val="none"/>
          <w:lang w:eastAsia="zh-CN"/>
        </w:rPr>
        <w:t xml:space="preserve">江苏四维工程咨询管理有限公司</w:t>
      </w:r>
      <w:r>
        <w:rPr>
          <w:rFonts w:hint="eastAsia" w:ascii="宋体" w:hAnsi="宋体" w:eastAsia="宋体" w:cs="宋体"/>
          <w:bCs/>
          <w:sz w:val="24"/>
          <w:szCs w:val="24"/>
          <w:highlight w:val="none"/>
        </w:rPr>
        <w:t xml:space="preserve">负责代理本项目的相关事宜。</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人参照苏政采协【2024】20号文件规定标准的8</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eastAsia="zh-CN"/>
        </w:rPr>
        <w:t xml:space="preserve">%，作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rPr>
          <w:rFonts w:hint="eastAsia" w:ascii="宋体" w:hAnsi="宋体" w:eastAsia="宋体" w:cs="宋体"/>
          <w:bCs/>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rPr>
          <w:rFonts w:hint="eastAsia" w:ascii="宋体" w:hAnsi="宋体" w:eastAsia="宋体" w:cs="宋体"/>
          <w:b/>
          <w:bCs/>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rPr>
          <w:rFonts w:hint="eastAsia" w:ascii="宋体" w:hAnsi="宋体" w:eastAsia="宋体" w:cs="宋体"/>
          <w:b/>
          <w:bCs/>
          <w:sz w:val="24"/>
          <w:szCs w:val="24"/>
          <w:highlight w:val="none"/>
          <w:lang w:val="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rPr>
          <w:rFonts w:hint="eastAsia" w:ascii="宋体" w:hAnsi="宋体" w:eastAsia="宋体" w:cs="宋体"/>
          <w:sz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 w:name="_Toc462564073"/>
      <w:r/>
      <w:bookmarkStart w:id="3" w:name="_Toc16938530"/>
      <w:r/>
      <w:bookmarkStart w:id="4" w:name="_Toc20823286"/>
      <w:r/>
      <w:bookmarkStart w:id="5" w:name="_Toc513029214"/>
      <w:r>
        <w:rPr>
          <w:rFonts w:hint="eastAsia" w:ascii="宋体" w:hAnsi="宋体" w:eastAsia="宋体" w:cs="宋体"/>
          <w:b/>
          <w:bCs/>
          <w:sz w:val="24"/>
          <w:szCs w:val="24"/>
          <w:highlight w:val="none"/>
          <w:lang w:eastAsia="zh-CN"/>
        </w:rPr>
        <w:t xml:space="preserve">8.</w:t>
      </w:r>
      <w:bookmarkEnd w:id="2"/>
      <w:r/>
      <w:bookmarkEnd w:id="3"/>
      <w:r/>
      <w:bookmarkEnd w:id="4"/>
      <w:r/>
      <w:bookmarkEnd w:id="5"/>
      <w:r>
        <w:rPr>
          <w:rFonts w:hint="eastAsia" w:ascii="宋体" w:hAnsi="宋体" w:eastAsia="宋体" w:cs="宋体"/>
          <w:b/>
          <w:bCs/>
          <w:sz w:val="24"/>
          <w:szCs w:val="24"/>
          <w:highlight w:val="none"/>
        </w:rPr>
        <w:t xml:space="preserve">投标文件的语言及度量衡单位</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6" w:name="_Toc462564074"/>
      <w:r/>
      <w:bookmarkStart w:id="7" w:name="_Toc513029215"/>
      <w:r/>
      <w:bookmarkStart w:id="8" w:name="_Toc20823287"/>
      <w:r/>
      <w:bookmarkStart w:id="9" w:name="_Toc16938531"/>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6"/>
      <w:r/>
      <w:bookmarkEnd w:id="7"/>
      <w:r/>
      <w:bookmarkEnd w:id="8"/>
      <w:r/>
      <w:bookmarkEnd w:id="9"/>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0" w:name="_Toc49090509"/>
      <w:r/>
      <w:bookmarkStart w:id="11" w:name="_Toc14577357"/>
      <w:r/>
      <w:bookmarkStart w:id="12" w:name="_Toc513029219"/>
      <w:r/>
      <w:bookmarkStart w:id="13" w:name="_Toc14577354"/>
      <w:r/>
      <w:bookmarkStart w:id="14" w:name="_Toc49090507"/>
      <w:r/>
      <w:bookmarkStart w:id="15" w:name="_Toc513029216"/>
      <w:r/>
      <w:bookmarkStart w:id="16" w:name="_Toc49090508"/>
      <w:r/>
      <w:bookmarkStart w:id="17" w:name="_Toc14577355"/>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0"/>
      <w:r/>
      <w:bookmarkEnd w:id="11"/>
      <w:r/>
      <w:bookmarkEnd w:id="12"/>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End w:id="13"/>
      <w:r/>
      <w:bookmarkEnd w:id="14"/>
      <w:r/>
      <w:bookmarkEnd w:id="15"/>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16"/>
      <w:r/>
      <w:bookmarkEnd w:id="17"/>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8" w:name="_Hlt26954848"/>
      <w:r/>
      <w:bookmarkEnd w:id="18"/>
      <w:r/>
      <w:bookmarkStart w:id="19" w:name="_Hlt26954731"/>
      <w:r/>
      <w:bookmarkEnd w:id="19"/>
      <w:r/>
      <w:bookmarkStart w:id="20" w:name="_Hlt26670486"/>
      <w:r/>
      <w:bookmarkEnd w:id="20"/>
      <w:r/>
      <w:bookmarkStart w:id="21" w:name="_Hlt26670482"/>
      <w:r/>
      <w:bookmarkEnd w:id="21"/>
      <w:r/>
      <w:bookmarkStart w:id="22" w:name="_Hlt26954846"/>
      <w:r/>
      <w:bookmarkEnd w:id="22"/>
      <w:r>
        <w:rPr>
          <w:rFonts w:hint="eastAsia" w:ascii="宋体" w:hAnsi="宋体" w:eastAsia="宋体" w:cs="宋体"/>
          <w:b/>
          <w:bCs/>
          <w:sz w:val="24"/>
          <w:szCs w:val="24"/>
          <w:highlight w:val="none"/>
        </w:rPr>
        <w:t xml:space="preserve">12.技术要求响应及偏离表、商务要求响应及偏离表（如有）</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3" w:name="_Toc14577359"/>
      <w:r/>
      <w:bookmarkStart w:id="24" w:name="_Toc49090510"/>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23"/>
      <w:r/>
      <w:bookmarkEnd w:id="24"/>
      <w:r>
        <w:rPr>
          <w:rFonts w:hint="eastAsia" w:ascii="宋体" w:hAnsi="宋体" w:eastAsia="宋体" w:cs="宋体"/>
          <w:b/>
          <w:bCs/>
          <w:sz w:val="24"/>
          <w:szCs w:val="24"/>
          <w:highlight w:val="none"/>
          <w:lang w:val="en-US" w:eastAsia="zh-CN"/>
        </w:rPr>
        <w:t xml:space="preserve">15.投标保证金</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16.1本项目评标标准中的方案部分是否采用暗标方式进行评审</w:t>
      </w:r>
      <w:r>
        <w:rPr>
          <w:rFonts w:hint="eastAsia" w:ascii="宋体" w:hAnsi="宋体" w:eastAsia="宋体" w:cs="宋体"/>
          <w:bCs/>
          <w:sz w:val="24"/>
          <w:szCs w:val="24"/>
          <w:highlight w:val="none"/>
        </w:rPr>
      </w:r>
      <w:r/>
    </w:p>
    <w:p>
      <w:pPr>
        <w:pStyle w:val="663"/>
        <w:ind w:left="0" w:right="0" w:firstLine="480"/>
        <w:jc w:val="center"/>
        <w:keepLines w:val="0"/>
        <w:keepNext w:val="0"/>
        <w:pageBreakBefore w:val="0"/>
        <w:spacing w:line="400" w:lineRule="exact"/>
        <w:widowControl w:val="off"/>
        <w:rPr>
          <w:rFonts w:hint="eastAsia" w:ascii="宋体" w:hAnsi="宋体" w:eastAsia="宋体" w:cs="宋体"/>
          <w:bCs/>
          <w:sz w:val="24"/>
          <w:szCs w:val="24"/>
          <w:highlight w:val="none"/>
        </w:rPr>
      </w:pPr>
      <w:r>
        <w:rPr>
          <w:rFonts w:ascii="Wingdings 2" w:hAnsi="Wingdings 2" w:eastAsia="Wingdings 2" w:cs="Wingdings 2"/>
          <w:sz w:val="24"/>
          <w:highlight w:val="none"/>
        </w:rPr>
        <w:t xml:space="preserve">R</w:t>
      </w:r>
      <w:r>
        <w:rPr>
          <w:rFonts w:hint="eastAsia" w:ascii="宋体" w:hAnsi="宋体" w:eastAsia="宋体" w:cs="宋体"/>
          <w:bCs/>
          <w:sz w:val="24"/>
          <w:szCs w:val="24"/>
          <w:highlight w:val="none"/>
        </w:rPr>
        <w:t xml:space="preserve">不采用        </w:t>
      </w:r>
      <w:r>
        <w:rPr>
          <w:rFonts w:ascii="Wingdings 2" w:hAnsi="Wingdings 2" w:eastAsia="Wingdings 2" w:cs="Wingdings 2"/>
          <w:sz w:val="24"/>
          <w:highlight w:val="none"/>
        </w:rPr>
        <w:t xml:space="preserve">£</w:t>
      </w:r>
      <w:r>
        <w:rPr>
          <w:rFonts w:hint="eastAsia" w:ascii="宋体" w:hAnsi="宋体" w:eastAsia="宋体" w:cs="宋体"/>
          <w:bCs/>
          <w:sz w:val="24"/>
          <w:szCs w:val="24"/>
          <w:highlight w:val="none"/>
        </w:rPr>
        <w:t xml:space="preserve">采用</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6.2</w:t>
      </w:r>
      <w:r>
        <w:rPr>
          <w:rFonts w:hint="eastAsia" w:ascii="宋体" w:hAnsi="宋体" w:eastAsia="宋体" w:cs="宋体"/>
          <w:bCs/>
          <w:sz w:val="24"/>
          <w:szCs w:val="24"/>
          <w:highlight w:val="none"/>
        </w:rPr>
        <w:t xml:space="preserve">的要求编制方案的，按未提供方案处理。</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投标人在递交投标文件后可以对其修改或撤回，但这种修改和撤回，必须在规定的投标截止时间前。</w:t>
      </w:r>
      <w:r>
        <w:rPr>
          <w:rFonts w:hint="eastAsia" w:ascii="宋体" w:hAnsi="宋体" w:eastAsia="宋体" w:cs="宋体"/>
          <w:color w:val="ff000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21.2对于电子投标文件的修改，投标人可在投标截止时间前登录苏采云系统撤回电子投标文件，并上传新的投标文件。</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5" w:name="_Toc20823302"/>
      <w:r/>
      <w:bookmarkStart w:id="26" w:name="_Toc16938546"/>
      <w:r/>
      <w:bookmarkStart w:id="27" w:name="_Toc513029230"/>
      <w:r>
        <w:rPr>
          <w:rFonts w:hint="eastAsia" w:ascii="宋体" w:hAnsi="宋体" w:eastAsia="宋体" w:cs="宋体"/>
          <w:b/>
          <w:bCs w:val="0"/>
          <w:sz w:val="24"/>
          <w:szCs w:val="24"/>
          <w:highlight w:val="none"/>
        </w:rPr>
        <w:t xml:space="preserve">2</w:t>
      </w:r>
      <w:bookmarkEnd w:id="25"/>
      <w:r/>
      <w:bookmarkEnd w:id="26"/>
      <w:r/>
      <w:bookmarkEnd w:id="27"/>
      <w:r>
        <w:rPr>
          <w:rFonts w:hint="eastAsia" w:ascii="宋体" w:hAnsi="宋体" w:eastAsia="宋体" w:cs="宋体"/>
          <w:b/>
          <w:bCs w:val="0"/>
          <w:sz w:val="24"/>
          <w:szCs w:val="24"/>
          <w:highlight w:val="none"/>
        </w:rPr>
        <w:t xml:space="preserve">2.开标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供应商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t xml:space="preserve">投标人的报价属于《关于推动解决政府采购异常低价问题相关工作的通知》（苏财购〔2025〕62号）异常低价情形的，投标人不提供书面说明、证明材料，或者提供的书面说明、证明材料不能证明其报价合理性的。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其他法律、法规及本招标文件规定的无效响应的情形。</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rPr>
          <w:rFonts w:hint="eastAsia" w:ascii="宋体" w:hAnsi="宋体" w:eastAsia="宋体" w:cs="宋体"/>
          <w:sz w:val="24"/>
          <w:szCs w:val="24"/>
          <w:highlight w:val="none"/>
        </w:rPr>
      </w:r>
      <w:r/>
    </w:p>
    <w:p>
      <w:pPr>
        <w:pStyle w:val="663"/>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rPr>
          <w:rFonts w:hint="eastAsia" w:ascii="宋体" w:hAnsi="宋体"/>
          <w:b/>
          <w:bCs w:val="0"/>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23.3.1评标过程中出现下列情形之一的，评委会应当启动异常低价投标审查程序：</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（1）投标（响应）报价低于采购项目预算50%的，即投标报价＜采购项目预算×50%；</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（2）投标报价低于采购项目最高限价45%的，即投标报价＜采购项目最高限价×45%；</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（3）评委会认定的投标人报价过低（含明显低于其他通过符合性审查投标人的报价），有可能影响产品质量或者不能诚信履约的其他情形。</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b w:val="0"/>
          <w:bCs/>
          <w:color w:val="000000"/>
          <w:sz w:val="24"/>
          <w:highlight w:val="none"/>
          <w:lang w:val="en-US" w:eastAsia="zh-CN"/>
        </w:rPr>
        <w:t xml:space="preserve">23.3.2启动异常低价投标审查后，评委会应当要求相关投标人在评标现场合理的时间内，提供项目具体成本测算等与报价合理性相关的书面说明材料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标报告中进行记录。</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.2评标委员会按招标文件第三章中公布的评标标准对每份合格投标文件进行评审，确定中标投标人，任何单项因素的最优不能作为中标的保证。</w:t>
      </w:r>
      <w:r>
        <w:rPr>
          <w:rFonts w:hint="eastAsia" w:ascii="宋体" w:hAnsi="宋体" w:eastAsia="宋体" w:cs="宋体"/>
          <w:sz w:val="24"/>
          <w:szCs w:val="24"/>
          <w:highlight w:val="none"/>
          <w:lang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28" w:name="_Toc513029232"/>
      <w:r/>
      <w:bookmarkStart w:id="29" w:name="_Toc16938548"/>
      <w:r/>
      <w:bookmarkStart w:id="30" w:name="_Toc20823304"/>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r>
        <w:rPr>
          <w:rFonts w:hint="eastAsia" w:ascii="宋体" w:hAnsi="宋体" w:eastAsia="宋体" w:cs="宋体"/>
          <w:sz w:val="24"/>
          <w:szCs w:val="24"/>
          <w:highlight w:val="none"/>
        </w:rPr>
      </w:r>
      <w:r/>
    </w:p>
    <w:p>
      <w:pPr>
        <w:pStyle w:val="663"/>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bookmarkEnd w:id="28"/>
      <w:r/>
      <w:bookmarkEnd w:id="29"/>
      <w:r/>
      <w:bookmarkEnd w:id="30"/>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.确定中标投标人</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rPr>
          <w:rFonts w:hint="eastAsia" w:ascii="宋体" w:hAnsi="宋体" w:eastAsia="宋体" w:cs="宋体"/>
          <w:b/>
          <w:bCs w:val="0"/>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自动放弃处理。中标投标人在领取中标通知书的同时必须递交与电子投标文件一致的纸质投标文件（印章齐全）正本一份，副本一份。</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rPr>
          <w:rFonts w:hint="eastAsia" w:ascii="宋体" w:hAnsi="宋体" w:eastAsia="宋体" w:cs="宋体"/>
          <w:b/>
          <w:bCs w:val="0"/>
          <w:sz w:val="24"/>
          <w:szCs w:val="24"/>
          <w:highlight w:val="none"/>
        </w:rPr>
      </w:r>
      <w:r/>
    </w:p>
    <w:p>
      <w:pPr>
        <w:pStyle w:val="663"/>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30.1本项目无需缴纳履约保证金。</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30.8如果成交投标人没有按照31条或32条的规定去做，采购人可报财政部门取消其成交资格，在此情况下采购人可将标授予下一个成交候选投标人，或重新采购。</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rPr>
          <w:rFonts w:hint="eastAsia" w:ascii="宋体" w:hAnsi="宋体" w:eastAsia="宋体" w:cs="宋体"/>
          <w:sz w:val="24"/>
          <w:szCs w:val="24"/>
          <w:highlight w:val="none"/>
          <w:lang w:val="en-US" w:eastAsia="zh-CN"/>
        </w:rPr>
      </w:r>
      <w:r/>
    </w:p>
    <w:p>
      <w:pPr>
        <w:pStyle w:val="663"/>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rPr>
          <w:rFonts w:hint="eastAsia" w:ascii="宋体" w:hAnsi="宋体" w:eastAsia="宋体" w:cs="宋体"/>
          <w:b/>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32.5监狱和戒毒企业</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（2）监狱企业标准请参照《关于政府采购支持监狱企业发展有关问题的通知》（财库[2014]68号）。</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w:t>
      </w:r>
      <w:r>
        <w:rPr>
          <w:rFonts w:hint="eastAsia" w:ascii="宋体" w:hAnsi="宋体" w:eastAsia="宋体" w:cs="宋体"/>
          <w:sz w:val="24"/>
          <w:szCs w:val="24"/>
          <w:highlight w:val="none"/>
          <w:lang w:eastAsia="zh-CN"/>
        </w:rPr>
        <w:t xml:space="preserve">采购本国产品的支持政策</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32.6.1</w:t>
      </w:r>
      <w:r>
        <w:rPr>
          <w:rFonts w:hint="eastAsia" w:ascii="宋体" w:hAnsi="宋体" w:eastAsia="宋体" w:cs="宋体"/>
          <w:sz w:val="24"/>
          <w:szCs w:val="24"/>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32.6.2</w:t>
      </w:r>
      <w:r>
        <w:rPr>
          <w:rFonts w:hint="eastAsia" w:ascii="宋体" w:hAnsi="宋体" w:eastAsia="宋体" w:cs="宋体"/>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sz w:val="24"/>
          <w:szCs w:val="24"/>
          <w:highlight w:val="none"/>
          <w:u w:val="none"/>
          <w:lang w:eastAsia="zh-CN"/>
        </w:rPr>
        <w:t xml:space="preserve">（供应商需在“第六章投标文件格式”的“附件2投标分项报价表”中填写比例数值）</w:t>
      </w:r>
      <w:r>
        <w:rPr>
          <w:rFonts w:hint="eastAsia" w:ascii="宋体" w:hAnsi="宋体" w:eastAsia="宋体" w:cs="宋体"/>
          <w:sz w:val="24"/>
          <w:szCs w:val="24"/>
          <w:highlight w:val="none"/>
          <w:lang w:eastAsia="zh-CN"/>
        </w:rPr>
        <w:t xml:space="preserve">，依法对该供应商提供的全部产品给予价格评审优惠，即对该供应商提供的全部产品的总报价给予20%的价格扣除，用扣除后的价格参与评审。供应商未填写比例数值，或比例数值</w:t>
      </w:r>
      <w:r>
        <w:rPr>
          <w:rFonts w:hint="eastAsia" w:ascii="方正魏碑_GBK" w:hAnsi="方正魏碑_GBK" w:eastAsia="方正魏碑_GBK" w:cs="方正魏碑_GBK"/>
          <w:color w:val="ff0000"/>
          <w:sz w:val="24"/>
          <w:szCs w:val="24"/>
          <w:highlight w:val="none"/>
        </w:rPr>
        <w:t xml:space="preserve">未达到</w:t>
      </w:r>
      <w:r>
        <w:rPr>
          <w:rFonts w:hint="eastAsia" w:ascii="宋体" w:hAnsi="宋体" w:eastAsia="宋体" w:cs="宋体"/>
          <w:sz w:val="24"/>
          <w:szCs w:val="24"/>
          <w:highlight w:val="none"/>
          <w:lang w:eastAsia="zh-CN"/>
        </w:rPr>
        <w:t xml:space="preserve">80%的，将不享受本国产品价格评审优惠。</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32.6.3</w:t>
      </w:r>
      <w:r>
        <w:rPr>
          <w:rFonts w:hint="eastAsia" w:ascii="宋体" w:hAnsi="宋体" w:eastAsia="宋体" w:cs="宋体"/>
          <w:sz w:val="24"/>
          <w:szCs w:val="24"/>
          <w:highlight w:val="none"/>
          <w:lang w:eastAsia="zh-CN"/>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7.4 供应商需在《声明函》中逐一、准确填写产品名称、厂名、生产</w:t>
      </w:r>
      <w:r>
        <w:rPr>
          <w:rFonts w:hint="eastAsia" w:ascii="宋体" w:hAnsi="宋体" w:eastAsia="宋体" w:cs="宋体"/>
          <w:sz w:val="24"/>
          <w:szCs w:val="24"/>
          <w:highlight w:val="none"/>
          <w:u w:val="none"/>
          <w:lang w:eastAsia="zh-CN"/>
        </w:rPr>
        <w:t xml:space="preserve">厂址三项信息（《声明函》中用</w:t>
      </w:r>
      <w:r>
        <w:rPr>
          <w:rFonts w:hint="eastAsia" w:ascii="宋体" w:hAnsi="宋体" w:eastAsia="宋体" w:cs="宋体"/>
          <w:sz w:val="24"/>
          <w:szCs w:val="24"/>
          <w:highlight w:val="none"/>
          <w:u w:val="none"/>
          <w:lang w:val="en-US" w:eastAsia="zh-CN"/>
        </w:rPr>
        <w:t xml:space="preserve">横线</w:t>
      </w:r>
      <w:r>
        <w:rPr>
          <w:rFonts w:hint="eastAsia" w:ascii="宋体" w:hAnsi="宋体" w:eastAsia="宋体" w:cs="宋体"/>
          <w:sz w:val="24"/>
          <w:szCs w:val="24"/>
          <w:highlight w:val="none"/>
          <w:u w:val="none"/>
          <w:lang w:eastAsia="zh-CN"/>
        </w:rPr>
        <w:t xml:space="preserve">划除的地方无需填写），三项信息中任意一项未填写的视</w:t>
      </w:r>
      <w:r>
        <w:rPr>
          <w:rFonts w:hint="eastAsia" w:ascii="宋体" w:hAnsi="宋体" w:eastAsia="宋体" w:cs="宋体"/>
          <w:sz w:val="24"/>
          <w:szCs w:val="24"/>
          <w:highlight w:val="none"/>
        </w:rPr>
        <w:t xml:space="preserve">为该项产品不符合本国产品标准，不享受本国产品价格评审优惠。</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rPr>
          <w:rFonts w:hint="eastAsia" w:ascii="宋体" w:hAnsi="宋体" w:eastAsia="宋体" w:cs="宋体"/>
          <w:b/>
          <w:bCs w:val="0"/>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sz w:val="24"/>
          <w:szCs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rPr>
          <w:rFonts w:hint="eastAsia" w:ascii="宋体" w:hAnsi="宋体" w:eastAsia="宋体" w:cs="宋体"/>
          <w:sz w:val="24"/>
          <w:szCs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 履约资金扶持政策</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sz w:val="24"/>
          <w:szCs w:val="24"/>
          <w:highlight w:val="none"/>
        </w:rPr>
      </w:r>
      <w:r/>
    </w:p>
    <w:p>
      <w:pPr>
        <w:pStyle w:val="663"/>
        <w:ind w:right="0"/>
        <w:jc w:val="center"/>
        <w:keepLines w:val="0"/>
        <w:keepNext w:val="0"/>
        <w:pageBreakBefore/>
        <w:spacing w:line="440" w:lineRule="exact"/>
        <w:widowControl w:val="off"/>
        <w:rPr>
          <w:rFonts w:hint="eastAsia" w:ascii="宋体" w:hAnsi="宋体" w:eastAsia="宋体" w:cs="宋体"/>
          <w:b/>
          <w:sz w:val="32"/>
          <w:szCs w:val="32"/>
          <w:highlight w:val="none"/>
        </w:rPr>
        <w:outlineLvl w:val="0"/>
      </w:pPr>
      <w:r/>
      <w:bookmarkStart w:id="31" w:name="_Toc19320"/>
      <w:r>
        <w:rPr>
          <w:rFonts w:hint="eastAsia" w:ascii="宋体" w:hAnsi="宋体" w:eastAsia="宋体" w:cs="宋体"/>
          <w:b/>
          <w:sz w:val="32"/>
          <w:szCs w:val="32"/>
          <w:highlight w:val="none"/>
        </w:rPr>
        <w:t xml:space="preserve">第三章  评标标准</w:t>
      </w:r>
      <w:bookmarkEnd w:id="31"/>
      <w:r>
        <w:rPr>
          <w:rFonts w:hint="eastAsia" w:ascii="宋体" w:hAnsi="宋体" w:eastAsia="宋体" w:cs="宋体"/>
          <w:b/>
          <w:sz w:val="32"/>
          <w:szCs w:val="32"/>
          <w:highlight w:val="none"/>
        </w:rPr>
      </w:r>
      <w:r/>
    </w:p>
    <w:p>
      <w:pPr>
        <w:pStyle w:val="663"/>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eastAsia="宋体" w:cs="宋体"/>
          <w:sz w:val="24"/>
          <w:highlight w:val="none"/>
          <w:lang w:val="zh-CN"/>
        </w:rPr>
      </w:r>
      <w:r/>
    </w:p>
    <w:p>
      <w:pPr>
        <w:pStyle w:val="663"/>
        <w:ind w:right="0" w:firstLine="480"/>
        <w:jc w:val="left"/>
        <w:keepLines w:val="0"/>
        <w:keepNext w:val="0"/>
        <w:pageBreakBefore w:val="0"/>
        <w:spacing w:line="480" w:lineRule="exact"/>
        <w:widowControl w:val="off"/>
        <w:rPr>
          <w:rFonts w:hint="eastAsia" w:ascii="宋体" w:hAnsi="宋体" w:cs="宋体"/>
          <w:sz w:val="24"/>
        </w:rPr>
      </w:pPr>
      <w:r>
        <w:rPr>
          <w:rFonts w:hint="eastAsia" w:ascii="宋体" w:hAnsi="宋体" w:eastAsia="宋体" w:cs="宋体"/>
          <w:sz w:val="24"/>
          <w:highlight w:val="none"/>
          <w:lang w:val="zh-CN"/>
        </w:rPr>
        <w:t xml:space="preserve">二、评委会将依据下列评标标准进行评标，本评标标准的总分为100分。按评审后得分由高到低顺序排列。得分相同的，按投标报价由低到高顺序排列。得分且投标报价相同的并列，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b/>
          <w:bCs/>
          <w:sz w:val="24"/>
          <w:highlight w:val="none"/>
          <w:lang w:val="zh-CN"/>
        </w:rPr>
        <w:t xml:space="preserve">供应商可以同时投</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val="zh-CN"/>
        </w:rPr>
        <w:t xml:space="preserve">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但只能中其中的1个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lang w:val="zh-CN"/>
        </w:rPr>
        <w:t xml:space="preserve">文件继续参与后续标段的评审。开评标按</w:t>
      </w:r>
      <w:r>
        <w:rPr>
          <w:rFonts w:hint="eastAsia" w:ascii="宋体" w:hAnsi="宋体" w:eastAsia="宋体" w:cs="宋体"/>
          <w:b/>
          <w:bCs/>
          <w:sz w:val="24"/>
          <w:highlight w:val="none"/>
          <w:lang w:val="en-US" w:eastAsia="zh-CN"/>
        </w:rPr>
        <w:t xml:space="preserve">采购包1、采购包2</w:t>
      </w:r>
      <w:r>
        <w:rPr>
          <w:rFonts w:hint="eastAsia" w:ascii="宋体" w:hAnsi="宋体" w:eastAsia="宋体" w:cs="宋体"/>
          <w:b/>
          <w:bCs/>
          <w:sz w:val="24"/>
          <w:highlight w:val="none"/>
          <w:lang w:val="zh-CN"/>
        </w:rPr>
        <w:t xml:space="preserve">的顺序进行。</w:t>
      </w:r>
      <w:r>
        <w:rPr>
          <w:rFonts w:hint="eastAsia" w:ascii="宋体" w:hAnsi="宋体" w:cs="宋体"/>
          <w:sz w:val="24"/>
        </w:rPr>
      </w:r>
      <w:r/>
    </w:p>
    <w:p>
      <w:pPr>
        <w:pStyle w:val="663"/>
        <w:ind w:right="0" w:firstLine="480"/>
        <w:jc w:val="left"/>
        <w:keepLines w:val="0"/>
        <w:keepNext w:val="0"/>
        <w:pageBreakBefore w:val="0"/>
        <w:spacing w:line="480" w:lineRule="exact"/>
        <w:widowControl w:val="off"/>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三、具体标准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100分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663"/>
        <w:ind w:right="0" w:firstLine="482"/>
        <w:jc w:val="left"/>
        <w:keepLines w:val="0"/>
        <w:keepNext w:val="0"/>
        <w:pageBreakBefore w:val="0"/>
        <w:spacing w:line="48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1、适用采购包1</w:t>
      </w:r>
      <w:r>
        <w:rPr>
          <w:rFonts w:ascii="宋体" w:hAnsi="宋体" w:eastAsia="宋体" w:cs="宋体"/>
          <w:b/>
          <w:bCs/>
          <w:sz w:val="24"/>
          <w:highlight w:val="none"/>
          <w:lang w:val="en-US" w:eastAsia="zh-CN"/>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trHeight w:val="668"/>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rPr>
                <w:rFonts w:hint="eastAsia" w:ascii="宋体" w:hAnsi="宋体" w:eastAsia="宋体" w:cs="宋体"/>
                <w:b/>
                <w:bCs/>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rPr>
                <w:rFonts w:hint="eastAsia" w:ascii="宋体" w:hAnsi="宋体" w:eastAsia="宋体" w:cs="宋体"/>
                <w:b/>
                <w:bCs/>
                <w:sz w:val="24"/>
                <w:szCs w:val="24"/>
              </w:rPr>
            </w:r>
            <w:r/>
          </w:p>
        </w:tc>
        <w:tc>
          <w:tcPr>
            <w:tcW w:w="6527"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154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磋商报价与磋商基准价</w:t>
            </w:r>
            <w:r>
              <w:rPr>
                <w:rFonts w:hint="eastAsia" w:ascii="宋体" w:hAnsi="宋体" w:eastAsia="宋体" w:cs="宋体"/>
                <w:sz w:val="24"/>
                <w:szCs w:val="24"/>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满足磋商文件要求且最后报价最低的供应商的报价为磋商基准价，其价格分为满分。其他供应商的价格分统一按照下列公式计算：磋商报价得分=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磋商基准价／最后磋商报价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（该结果四舍五入，保留两位小数）</w:t>
            </w:r>
            <w:r>
              <w:rPr>
                <w:rFonts w:hint="eastAsia" w:ascii="宋体" w:hAnsi="宋体" w:eastAsia="宋体" w:cs="宋体"/>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商务部分（5分）</w:t>
            </w:r>
            <w:r>
              <w:rPr>
                <w:rFonts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6527" w:type="dxa"/>
            <w:vAlign w:val="center"/>
            <w:textDirection w:val="lrTb"/>
            <w:noWrap w:val="false"/>
          </w:tcPr>
          <w:p>
            <w:pPr>
              <w:pStyle w:val="663"/>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供应商自2023年1月1日至今，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rPr>
            </w:r>
            <w:r/>
          </w:p>
          <w:p>
            <w:pPr>
              <w:pStyle w:val="663"/>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（提供合同原件扫描件上传，时间以合同签订时间为准，合同内容中需能反映出相关内容，否则不得分。）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rPr>
                <w:rFonts w:ascii="宋体" w:hAnsi="宋体" w:eastAsia="宋体" w:cs="宋体"/>
                <w:color w:val="000000"/>
                <w:sz w:val="24"/>
                <w:szCs w:val="24"/>
                <w:highlight w:val="none"/>
                <w:lang w:val="en-US" w:eastAsia="zh-CN"/>
              </w:rPr>
            </w:r>
            <w:r/>
          </w:p>
        </w:tc>
        <w:tc>
          <w:tcPr>
            <w:tcW w:w="6527" w:type="dxa"/>
            <w:vAlign w:val="center"/>
            <w:textDirection w:val="lrTb"/>
            <w:noWrap w:val="false"/>
          </w:tcPr>
          <w:p>
            <w:pPr>
              <w:pStyle w:val="759"/>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供应商具备有效期内的质量管理体系认证证书、环境管理体系认证证书、职业健康安全管理体系认证证书，每提供一个得1分，最多得3分。</w:t>
            </w:r>
            <w:r>
              <w:rPr>
                <w:rFonts w:hint="eastAsia" w:ascii="宋体" w:hAnsi="宋体" w:eastAsia="宋体" w:cs="宋体"/>
                <w:color w:val="000000"/>
                <w:sz w:val="24"/>
                <w:szCs w:val="24"/>
                <w:highlight w:val="none"/>
                <w:lang w:val="en-US" w:eastAsia="zh-CN" w:bidi="ar-SA"/>
              </w:rPr>
            </w:r>
            <w:r/>
          </w:p>
          <w:p>
            <w:pPr>
              <w:pStyle w:val="759"/>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提供认证证书原件扫描件及国家认证认可信息公共服务平台查询该认证的截图加盖供应商公章，</w:t>
            </w:r>
            <w:r>
              <w:rPr>
                <w:rFonts w:hint="eastAsia" w:ascii="宋体" w:hAnsi="宋体" w:eastAsia="宋体" w:cs="宋体"/>
                <w:b/>
                <w:bCs/>
                <w:sz w:val="24"/>
                <w:szCs w:val="24"/>
                <w:highlight w:val="none"/>
                <w:lang w:val="zh-CN"/>
              </w:rPr>
              <w:t xml:space="preserve">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55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hint="eastAsia" w:ascii="宋体" w:hAnsi="宋体" w:eastAsia="宋体" w:cs="宋体"/>
                <w:spacing w:val="4"/>
                <w:sz w:val="24"/>
                <w:szCs w:val="24"/>
                <w:lang w:val="en-US" w:eastAsia="zh-CN" w:bidi="ar"/>
              </w:rPr>
              <w:t xml:space="preserve">技术响应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ascii="宋体" w:hAnsi="宋体" w:eastAsia="宋体" w:cs="宋体"/>
                <w:sz w:val="24"/>
                <w:szCs w:val="24"/>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eastAsia="宋体" w:cs="宋体"/>
                <w:spacing w:val="4"/>
                <w:sz w:val="24"/>
                <w:szCs w:val="24"/>
                <w:lang w:val="en-US" w:eastAsia="zh-CN" w:bidi="ar"/>
              </w:rPr>
              <w:t xml:space="preserve">参数响应</w:t>
            </w:r>
            <w:r>
              <w:rPr>
                <w:rFonts w:ascii="宋体" w:hAnsi="宋体" w:eastAsia="宋体" w:cs="宋体"/>
                <w:spacing w:val="4"/>
                <w:sz w:val="24"/>
                <w:szCs w:val="24"/>
                <w:lang w:val="en-US" w:eastAsia="zh-CN" w:bidi="ar"/>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sz w:val="24"/>
                <w:szCs w:val="24"/>
                <w:lang w:val="en-US" w:bidi="zh-CN"/>
              </w:rPr>
            </w:r>
            <w:r/>
          </w:p>
          <w:p>
            <w:pPr>
              <w:pStyle w:val="663"/>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lang w:val="en-US" w:eastAsia="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rPr>
                <w:rFonts w:ascii="宋体" w:hAnsi="宋体" w:eastAsia="宋体" w:cs="宋体"/>
                <w:sz w:val="24"/>
                <w:szCs w:val="24"/>
                <w:lang w:val="en-US" w:eastAsia="zh-CN"/>
              </w:rPr>
            </w:r>
            <w:r/>
          </w:p>
        </w:tc>
      </w:tr>
      <w:tr>
        <w:trPr>
          <w:trHeight w:val="572"/>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w:t>
            </w:r>
            <w:r>
              <w:rPr>
                <w:rFonts w:hint="eastAsia" w:ascii="宋体" w:hAnsi="宋体" w:eastAsia="宋体" w:cs="宋体"/>
                <w:sz w:val="24"/>
                <w:szCs w:val="24"/>
                <w:lang w:val="en-US" w:eastAsia="zh-CN" w:bidi="ar-SA"/>
              </w:rPr>
              <w:t xml:space="preserve">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rPr>
                <w:rFonts w:hint="eastAsia"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rPr>
                <w:rFonts w:ascii="宋体" w:hAnsi="宋体" w:eastAsia="宋体" w:cs="宋体"/>
                <w:color w:val="000000"/>
                <w:sz w:val="24"/>
                <w:szCs w:val="24"/>
                <w:lang w:val="en-US" w:eastAsia="zh-CN"/>
              </w:rPr>
            </w:r>
            <w:r/>
          </w:p>
        </w:tc>
      </w:tr>
    </w:tbl>
    <w:p>
      <w:pPr>
        <w:pStyle w:val="663"/>
        <w:ind w:right="0"/>
        <w:jc w:val="left"/>
        <w:keepLines w:val="0"/>
        <w:keepNext w:val="0"/>
        <w:pageBreakBefore w:val="0"/>
        <w:spacing w:line="48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663"/>
        <w:ind w:right="0" w:firstLine="482"/>
        <w:jc w:val="left"/>
        <w:keepLines w:val="0"/>
        <w:keepNext w:val="0"/>
        <w:pageBreakBefore w:val="0"/>
        <w:spacing w:line="480" w:lineRule="exact"/>
        <w:widowControl w:val="off"/>
        <w:rPr>
          <w:rFonts w:hint="eastAsia" w:ascii="宋体" w:hAnsi="宋体" w:cs="宋体"/>
          <w:b/>
          <w:bCs/>
          <w:sz w:val="24"/>
          <w:lang w:bidi="ar"/>
        </w:rPr>
      </w:pPr>
      <w:r>
        <w:rPr>
          <w:rFonts w:hint="eastAsia" w:ascii="宋体" w:hAnsi="宋体" w:eastAsia="宋体" w:cs="宋体"/>
          <w:b/>
          <w:bCs/>
          <w:sz w:val="24"/>
          <w:highlight w:val="none"/>
          <w:lang w:val="en-US" w:eastAsia="zh-CN"/>
        </w:rPr>
        <w:t xml:space="preserve">2、适用采购包2</w:t>
      </w:r>
      <w:r>
        <w:rPr>
          <w:rFonts w:hint="eastAsia" w:ascii="宋体" w:hAnsi="宋体" w:cs="宋体"/>
          <w:b/>
          <w:bCs/>
          <w:sz w:val="24"/>
          <w:lang w:bidi="ar"/>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trHeight w:val="668"/>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rPr>
                <w:rFonts w:hint="eastAsia" w:ascii="宋体" w:hAnsi="宋体" w:eastAsia="宋体" w:cs="宋体"/>
                <w:b/>
                <w:bCs/>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rPr>
                <w:rFonts w:hint="eastAsia" w:ascii="宋体" w:hAnsi="宋体" w:eastAsia="宋体" w:cs="宋体"/>
                <w:b/>
                <w:bCs/>
                <w:sz w:val="24"/>
                <w:szCs w:val="24"/>
              </w:rPr>
            </w:r>
            <w:r/>
          </w:p>
        </w:tc>
        <w:tc>
          <w:tcPr>
            <w:tcW w:w="6527"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154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磋商报价与磋商基准价</w:t>
            </w:r>
            <w:r>
              <w:rPr>
                <w:rFonts w:hint="eastAsia" w:ascii="宋体" w:hAnsi="宋体" w:eastAsia="宋体" w:cs="宋体"/>
                <w:sz w:val="24"/>
                <w:szCs w:val="24"/>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满足磋商文件要求且最后报价最低的供应商的报价为磋商基准价，其价格分为满分。其他供应商的价格分统一按照下列公式计算：磋商报价得分=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磋商基准价／最后磋商报价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（该结果四舍五入，保留两位小数）</w:t>
            </w:r>
            <w:r>
              <w:rPr>
                <w:rFonts w:hint="eastAsia" w:ascii="宋体" w:hAnsi="宋体" w:eastAsia="宋体" w:cs="宋体"/>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商务部分（5分）</w:t>
            </w:r>
            <w:r>
              <w:rPr>
                <w:rFonts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6527" w:type="dxa"/>
            <w:vAlign w:val="center"/>
            <w:textDirection w:val="lrTb"/>
            <w:noWrap w:val="false"/>
          </w:tcPr>
          <w:p>
            <w:pPr>
              <w:pStyle w:val="663"/>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供应商自2023年1月1日至今，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rPr>
            </w:r>
            <w:r/>
          </w:p>
          <w:p>
            <w:pPr>
              <w:pStyle w:val="663"/>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（提供合同原件扫描件上传，时间以合同签订时间为准，合同内容中需能反映出相关内容，否则不得分。）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rPr>
                <w:rFonts w:ascii="宋体" w:hAnsi="宋体" w:eastAsia="宋体" w:cs="宋体"/>
                <w:color w:val="000000"/>
                <w:sz w:val="24"/>
                <w:szCs w:val="24"/>
                <w:highlight w:val="none"/>
                <w:lang w:val="en-US" w:eastAsia="zh-CN"/>
              </w:rPr>
            </w:r>
            <w:r/>
          </w:p>
        </w:tc>
        <w:tc>
          <w:tcPr>
            <w:tcW w:w="6527" w:type="dxa"/>
            <w:vAlign w:val="center"/>
            <w:textDirection w:val="lrTb"/>
            <w:noWrap w:val="false"/>
          </w:tcPr>
          <w:p>
            <w:pPr>
              <w:pStyle w:val="759"/>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供应商具备有效期内的质量管理体系认证证书、环境管理体系认证证书、职业健康安全管理体系认证证书，每提供一个得1分，最多得3分。</w:t>
            </w:r>
            <w:r>
              <w:rPr>
                <w:rFonts w:hint="eastAsia" w:ascii="宋体" w:hAnsi="宋体" w:eastAsia="宋体" w:cs="宋体"/>
                <w:color w:val="000000"/>
                <w:sz w:val="24"/>
                <w:szCs w:val="24"/>
                <w:highlight w:val="none"/>
                <w:lang w:val="en-US" w:eastAsia="zh-CN" w:bidi="ar-SA"/>
              </w:rPr>
            </w:r>
            <w:r/>
          </w:p>
          <w:p>
            <w:pPr>
              <w:pStyle w:val="759"/>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提供认证证书原件扫描件及国家认证认可信息公共服务平台查询该认证的截图加盖供应商公章，</w:t>
            </w:r>
            <w:r>
              <w:rPr>
                <w:rFonts w:hint="eastAsia" w:ascii="宋体" w:hAnsi="宋体" w:eastAsia="宋体" w:cs="宋体"/>
                <w:b/>
                <w:bCs/>
                <w:sz w:val="24"/>
                <w:szCs w:val="24"/>
                <w:highlight w:val="none"/>
                <w:lang w:val="zh-CN"/>
              </w:rPr>
              <w:t xml:space="preserve">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55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hint="eastAsia" w:ascii="宋体" w:hAnsi="宋体" w:eastAsia="宋体" w:cs="宋体"/>
                <w:spacing w:val="4"/>
                <w:sz w:val="24"/>
                <w:szCs w:val="24"/>
                <w:lang w:val="en-US" w:eastAsia="zh-CN" w:bidi="ar"/>
              </w:rPr>
              <w:t xml:space="preserve">技术响应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ascii="宋体" w:hAnsi="宋体" w:eastAsia="宋体" w:cs="宋体"/>
                <w:sz w:val="24"/>
                <w:szCs w:val="24"/>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eastAsia="宋体" w:cs="宋体"/>
                <w:spacing w:val="4"/>
                <w:sz w:val="24"/>
                <w:szCs w:val="24"/>
                <w:lang w:val="en-US" w:eastAsia="zh-CN" w:bidi="ar"/>
              </w:rPr>
              <w:t xml:space="preserve">参数响应</w:t>
            </w:r>
            <w:r>
              <w:rPr>
                <w:rFonts w:ascii="宋体" w:hAnsi="宋体" w:eastAsia="宋体" w:cs="宋体"/>
                <w:spacing w:val="4"/>
                <w:sz w:val="24"/>
                <w:szCs w:val="24"/>
                <w:lang w:val="en-US" w:eastAsia="zh-CN" w:bidi="ar"/>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sz w:val="24"/>
                <w:szCs w:val="24"/>
                <w:lang w:val="en-US" w:bidi="zh-CN"/>
              </w:rPr>
            </w:r>
            <w:r/>
          </w:p>
          <w:p>
            <w:pPr>
              <w:pStyle w:val="663"/>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lang w:val="en-US" w:eastAsia="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rPr>
                <w:rFonts w:ascii="宋体" w:hAnsi="宋体" w:eastAsia="宋体" w:cs="宋体"/>
                <w:sz w:val="24"/>
                <w:szCs w:val="24"/>
                <w:lang w:val="en-US" w:eastAsia="zh-CN"/>
              </w:rPr>
            </w:r>
            <w:r/>
          </w:p>
        </w:tc>
      </w:tr>
      <w:tr>
        <w:trPr>
          <w:trHeight w:val="572"/>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w:t>
            </w:r>
            <w:r>
              <w:rPr>
                <w:rFonts w:hint="eastAsia" w:ascii="宋体" w:hAnsi="宋体" w:eastAsia="宋体" w:cs="宋体"/>
                <w:sz w:val="24"/>
                <w:szCs w:val="24"/>
                <w:lang w:val="en-US" w:eastAsia="zh-CN" w:bidi="ar-SA"/>
              </w:rPr>
              <w:t xml:space="preserve">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rPr>
                <w:rFonts w:hint="eastAsia"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rPr>
                <w:rFonts w:ascii="宋体" w:hAnsi="宋体" w:eastAsia="宋体" w:cs="宋体"/>
                <w:color w:val="000000"/>
                <w:sz w:val="24"/>
                <w:szCs w:val="24"/>
                <w:lang w:val="en-US" w:eastAsia="zh-CN"/>
              </w:rPr>
            </w:r>
            <w:r/>
          </w:p>
        </w:tc>
      </w:tr>
    </w:tbl>
    <w:p>
      <w:pPr>
        <w:pStyle w:val="663"/>
        <w:ind w:right="0"/>
        <w:jc w:val="left"/>
        <w:keepLines w:val="0"/>
        <w:keepNext w:val="0"/>
        <w:pageBreakBefore w:val="0"/>
        <w:spacing w:line="400" w:lineRule="exact"/>
        <w:widowControl w:val="off"/>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 xml:space="preserve">注</w:t>
      </w:r>
      <w:r>
        <w:rPr>
          <w:rFonts w:hint="eastAsia" w:ascii="宋体" w:hAnsi="宋体" w:eastAsia="宋体" w:cs="宋体"/>
          <w:b/>
          <w:bCs/>
          <w:sz w:val="24"/>
          <w:highlight w:val="none"/>
          <w:lang w:eastAsia="zh-CN" w:bidi="ar"/>
        </w:rPr>
        <w:t xml:space="preserve">：</w:t>
      </w:r>
      <w:r>
        <w:rPr>
          <w:rFonts w:hint="eastAsia" w:ascii="宋体" w:hAnsi="宋体" w:eastAsia="宋体" w:cs="宋体"/>
          <w:b/>
          <w:bCs/>
          <w:color w:val="ff0000"/>
          <w:sz w:val="24"/>
          <w:szCs w:val="24"/>
          <w:highlight w:val="none"/>
          <w:lang w:val="en-US" w:eastAsia="zh-CN" w:bidi="ar-SA"/>
        </w:rPr>
        <w:t xml:space="preserve">1、</w:t>
      </w:r>
      <w:r>
        <w:rPr>
          <w:rFonts w:hint="eastAsia" w:ascii="宋体" w:hAnsi="宋体" w:eastAsia="宋体" w:cs="宋体"/>
          <w:b/>
          <w:bCs/>
          <w:color w:val="ff0000"/>
          <w:sz w:val="24"/>
          <w:highlight w:val="none"/>
        </w:rPr>
        <w:t xml:space="preserve">以上所有要求提供的证明材料在投标截止时间之前扫描件加盖单位</w:t>
      </w:r>
      <w:r>
        <w:rPr>
          <w:rFonts w:hint="eastAsia" w:ascii="宋体" w:hAnsi="宋体" w:eastAsia="宋体" w:cs="宋体"/>
          <w:b/>
          <w:bCs/>
          <w:color w:val="ff0000"/>
          <w:sz w:val="24"/>
          <w:highlight w:val="none"/>
          <w:lang w:eastAsia="zh-CN"/>
        </w:rPr>
        <w:t xml:space="preserve">公</w:t>
      </w:r>
      <w:r>
        <w:rPr>
          <w:rFonts w:hint="eastAsia" w:ascii="宋体" w:hAnsi="宋体" w:eastAsia="宋体" w:cs="宋体"/>
          <w:b/>
          <w:bCs/>
          <w:color w:val="ff0000"/>
          <w:sz w:val="24"/>
          <w:highlight w:val="none"/>
        </w:rPr>
        <w:t xml:space="preserve">章或者电子签章上传，用投标文件制作工具制作并生成上传至</w:t>
      </w:r>
      <w:r>
        <w:rPr>
          <w:rFonts w:hint="eastAsia" w:ascii="宋体" w:hAnsi="宋体" w:eastAsia="宋体" w:cs="宋体"/>
          <w:b/>
          <w:bCs/>
          <w:color w:val="ff0000"/>
          <w:sz w:val="24"/>
          <w:highlight w:val="none"/>
          <w:lang w:eastAsia="zh-CN"/>
        </w:rPr>
        <w:t xml:space="preserve">苏采云</w:t>
      </w:r>
      <w:r>
        <w:rPr>
          <w:rFonts w:hint="eastAsia" w:ascii="宋体" w:hAnsi="宋体" w:eastAsia="宋体" w:cs="宋体"/>
          <w:b/>
          <w:bCs/>
          <w:color w:val="ff0000"/>
          <w:sz w:val="24"/>
          <w:highlight w:val="none"/>
        </w:rPr>
        <w:t xml:space="preserve">平台。</w:t>
      </w:r>
      <w:r>
        <w:rPr>
          <w:rFonts w:hint="eastAsia" w:ascii="宋体" w:hAnsi="宋体" w:eastAsia="宋体" w:cs="宋体"/>
          <w:b/>
          <w:bCs/>
          <w:color w:val="ff0000"/>
          <w:sz w:val="24"/>
          <w:highlight w:val="none"/>
        </w:rPr>
      </w:r>
      <w:r/>
    </w:p>
    <w:p>
      <w:pPr>
        <w:pStyle w:val="663"/>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rPr>
          <w:rFonts w:hint="eastAsia" w:ascii="宋体" w:hAnsi="宋体" w:eastAsia="宋体" w:cs="宋体"/>
          <w:b/>
          <w:bCs/>
          <w:sz w:val="36"/>
          <w:szCs w:val="36"/>
          <w:highlight w:val="none"/>
        </w:rPr>
      </w:r>
      <w:r/>
    </w:p>
    <w:p>
      <w:pPr>
        <w:pStyle w:val="663"/>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jc w:val="center"/>
        <w:keepLines w:val="0"/>
        <w:keepNext w:val="0"/>
        <w:pageBreakBefore/>
        <w:widowControl w:val="off"/>
        <w:rPr>
          <w:rFonts w:hint="eastAsia" w:ascii="宋体" w:hAnsi="宋体" w:eastAsia="宋体" w:cs="宋体"/>
          <w:b/>
          <w:bCs/>
          <w:sz w:val="32"/>
          <w:szCs w:val="32"/>
          <w:highlight w:val="none"/>
        </w:rPr>
        <w:outlineLvl w:val="0"/>
      </w:pPr>
      <w:r/>
      <w:bookmarkStart w:id="32" w:name="_Toc26585"/>
      <w:r>
        <w:rPr>
          <w:rFonts w:hint="eastAsia" w:ascii="宋体" w:hAnsi="宋体" w:eastAsia="宋体" w:cs="宋体"/>
          <w:b/>
          <w:bCs/>
          <w:sz w:val="32"/>
          <w:szCs w:val="32"/>
          <w:highlight w:val="none"/>
        </w:rPr>
        <w:t xml:space="preserve">第四章  合同格式及条款</w:t>
      </w:r>
      <w:bookmarkEnd w:id="32"/>
      <w:r>
        <w:rPr>
          <w:rFonts w:hint="eastAsia" w:ascii="宋体" w:hAnsi="宋体" w:eastAsia="宋体" w:cs="宋体"/>
          <w:b/>
          <w:bCs/>
          <w:sz w:val="32"/>
          <w:szCs w:val="32"/>
          <w:highlight w:val="none"/>
        </w:rPr>
      </w:r>
      <w:r/>
    </w:p>
    <w:p>
      <w:pPr>
        <w:pStyle w:val="663"/>
        <w:ind w:right="0" w:firstLine="48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4"/>
          <w:highlight w:val="none"/>
        </w:rPr>
        <w:t xml:space="preserve">注：以下为采购人提出中标后签订本项目合同的通用条款，</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必须实质性响应，中标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不得提出实质性的修改，关于专用条款将由采购人与中标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结合本项目具体情况协商后签订。</w:t>
      </w:r>
      <w:r>
        <w:rPr>
          <w:rFonts w:hint="eastAsia" w:ascii="宋体" w:hAnsi="宋体" w:eastAsia="宋体" w:cs="宋体"/>
          <w:sz w:val="28"/>
          <w:szCs w:val="28"/>
          <w:highlight w:val="none"/>
        </w:rPr>
      </w:r>
      <w:r/>
    </w:p>
    <w:p>
      <w:pPr>
        <w:pStyle w:val="663"/>
        <w:ind w:right="0"/>
        <w:jc w:val="center"/>
        <w:keepLines w:val="0"/>
        <w:keepNext w:val="0"/>
        <w:spacing w:line="5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一、合同条款前附表</w:t>
      </w:r>
      <w:r>
        <w:rPr>
          <w:rFonts w:hint="eastAsia" w:ascii="宋体" w:hAnsi="宋体" w:eastAsia="宋体" w:cs="宋体"/>
          <w:b/>
          <w:bCs/>
          <w:sz w:val="28"/>
          <w:szCs w:val="28"/>
          <w:highlight w:val="none"/>
        </w:rPr>
      </w:r>
      <w:r/>
    </w:p>
    <w:tbl>
      <w:tblPr>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841"/>
        <w:gridCol w:w="8715"/>
      </w:tblGrid>
      <w:tr>
        <w:trPr>
          <w:trHeight w:val="5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内    容</w:t>
            </w:r>
            <w:r>
              <w:rPr>
                <w:rFonts w:hint="eastAsia" w:ascii="宋体" w:hAnsi="宋体" w:eastAsia="宋体" w:cs="宋体"/>
                <w:b/>
                <w:bCs/>
                <w:sz w:val="24"/>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keepLines w:val="0"/>
              <w:keepNext w:val="0"/>
              <w:pageBreakBefore w:val="0"/>
              <w:spacing w:line="4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val="en-US" w:eastAsia="zh-CN"/>
              </w:rPr>
              <w:t xml:space="preserve">付款方式：</w:t>
            </w:r>
            <w:r>
              <w:rPr>
                <w:rFonts w:hint="eastAsia" w:ascii="宋体" w:hAnsi="宋体" w:eastAsia="宋体" w:cs="宋体"/>
                <w:bCs/>
                <w:color w:val="000000"/>
                <w:sz w:val="24"/>
                <w:highlight w:val="none"/>
                <w:lang w:eastAsia="zh-CN"/>
              </w:rPr>
              <w:t xml:space="preserve">所有货物供货完成后付合同价的50%，经消防大队试用两个月，满足要求后出具验收合格证明付清余款。</w:t>
            </w:r>
            <w:r>
              <w:rPr>
                <w:rFonts w:hint="eastAsia" w:ascii="宋体" w:hAnsi="宋体" w:eastAsia="宋体" w:cs="宋体"/>
                <w:highlight w:val="none"/>
              </w:rPr>
            </w:r>
            <w:r/>
          </w:p>
        </w:tc>
      </w:tr>
      <w:tr>
        <w:trPr>
          <w:trHeight w:val="73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keepLines w:val="0"/>
              <w:keepNext w:val="0"/>
              <w:pageBreakBefore w:val="0"/>
              <w:spacing w:line="400" w:lineRule="exact"/>
              <w:widowControl w:val="off"/>
              <w:rPr>
                <w:rFonts w:hint="eastAsia" w:ascii="宋体" w:hAnsi="宋体" w:eastAsia="宋体" w:cs="宋体"/>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供货期限</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lang w:val="en-US" w:eastAsia="zh-CN"/>
              </w:rPr>
              <w:t xml:space="preserve">合同签订后30天内供货完毕并验收合格。</w:t>
            </w:r>
            <w:r>
              <w:rPr>
                <w:rFonts w:hint="eastAsia" w:ascii="宋体" w:hAnsi="宋体" w:eastAsia="宋体" w:cs="宋体"/>
                <w:sz w:val="24"/>
                <w:highlight w:val="none"/>
                <w:shd w:val="clear" w:color="auto" w:fill="ffffff"/>
              </w:rPr>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实施地点：采购人指定地点。</w:t>
            </w:r>
            <w:r>
              <w:rPr>
                <w:rFonts w:hint="eastAsia" w:ascii="宋体" w:hAnsi="宋体" w:eastAsia="宋体" w:cs="宋体"/>
                <w:bCs/>
                <w:sz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w:t>
            </w:r>
            <w:r>
              <w:rPr>
                <w:rFonts w:ascii="宋体" w:hAnsi="宋体" w:eastAsia="宋体" w:cs="宋体"/>
                <w:b/>
                <w:bCs/>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bCs/>
                <w:sz w:val="24"/>
                <w:lang w:val="en-US" w:eastAsia="zh-CN"/>
              </w:rPr>
              <w:t xml:space="preserve">验收方式：根据相关规定并按国家相关标准进行验收。</w:t>
            </w:r>
            <w:r>
              <w:rPr>
                <w:rFonts w:hint="eastAsia" w:ascii="宋体" w:hAnsi="宋体" w:eastAsia="宋体" w:cs="宋体"/>
                <w:bCs/>
                <w:sz w:val="24"/>
                <w:highlight w:val="none"/>
              </w:rPr>
            </w:r>
            <w:r/>
          </w:p>
        </w:tc>
      </w:tr>
    </w:tbl>
    <w:p>
      <w:pPr>
        <w:pStyle w:val="663"/>
        <w:ind w:right="0" w:firstLine="562"/>
        <w:jc w:val="center"/>
        <w:keepLines w:val="0"/>
        <w:keepNext w:val="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二、合同通用条款</w:t>
      </w:r>
      <w:r>
        <w:rPr>
          <w:rFonts w:hint="eastAsia" w:ascii="宋体" w:hAnsi="宋体" w:eastAsia="宋体" w:cs="宋体"/>
          <w:b/>
          <w:bCs/>
          <w:sz w:val="28"/>
          <w:szCs w:val="28"/>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江苏金湖经济开发区管理委员会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w:t>
      </w:r>
      <w:r>
        <w:rPr>
          <w:rFonts w:hint="eastAsia" w:ascii="宋体" w:hAnsi="宋体" w:eastAsia="宋体" w:cs="宋体"/>
          <w:sz w:val="24"/>
          <w:highlight w:val="none"/>
          <w:lang w:eastAsia="zh-CN"/>
        </w:rPr>
        <w:t xml:space="preserve">合同</w:t>
      </w:r>
      <w:r>
        <w:rPr>
          <w:rFonts w:hint="eastAsia" w:ascii="宋体" w:hAnsi="宋体" w:eastAsia="宋体" w:cs="宋体"/>
          <w:sz w:val="24"/>
          <w:highlight w:val="none"/>
        </w:rPr>
        <w:t xml:space="preserve">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w:t>
      </w:r>
      <w:r>
        <w:rPr>
          <w:rFonts w:hint="eastAsia" w:ascii="宋体" w:hAnsi="宋体" w:eastAsia="宋体" w:cs="宋体"/>
          <w:b/>
          <w:bCs/>
          <w:sz w:val="24"/>
          <w:highlight w:val="none"/>
          <w:lang w:eastAsia="zh-CN"/>
        </w:rPr>
        <w:t xml:space="preserve">延迟</w:t>
      </w:r>
      <w:r>
        <w:rPr>
          <w:rFonts w:hint="eastAsia" w:ascii="宋体" w:hAnsi="宋体" w:eastAsia="宋体" w:cs="宋体"/>
          <w:b/>
          <w:bCs/>
          <w:sz w:val="24"/>
          <w:highlight w:val="none"/>
        </w:rPr>
        <w:t xml:space="preserve">交货、安装</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rPr>
          <w:rFonts w:hint="eastAsia" w:ascii="宋体" w:hAnsi="宋体" w:eastAsia="宋体" w:cs="宋体"/>
          <w:b/>
          <w:bCs/>
          <w:sz w:val="24"/>
          <w:highlight w:val="none"/>
        </w:rPr>
      </w:r>
      <w:r/>
    </w:p>
    <w:p>
      <w:pPr>
        <w:pStyle w:val="663"/>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eastAsia="zh-CN"/>
        </w:rPr>
        <w:t xml:space="preserve">本项目无需缴纳履约保证金</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sz w:val="24"/>
          <w:highlight w:val="none"/>
        </w:rPr>
      </w:r>
      <w:r/>
    </w:p>
    <w:p>
      <w:pPr>
        <w:pStyle w:val="663"/>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rPr>
          <w:rFonts w:hint="eastAsia" w:ascii="宋体" w:hAnsi="宋体" w:eastAsia="宋体" w:cs="宋体"/>
          <w:b/>
          <w:bCs/>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eastAsia="zh-CN"/>
        </w:rPr>
        <w:t xml:space="preserve">开发区专职消防队消防设备、器材采购项目</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rPr>
          <w:rFonts w:hint="eastAsia" w:ascii="宋体" w:hAnsi="宋体" w:eastAsia="宋体" w:cs="宋体"/>
          <w:sz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rPr>
          <w:rFonts w:hint="eastAsia" w:ascii="宋体" w:hAnsi="宋体" w:eastAsia="宋体" w:cs="宋体"/>
          <w:sz w:val="24"/>
          <w:highlight w:val="none"/>
        </w:rPr>
      </w:r>
      <w:r/>
    </w:p>
    <w:p>
      <w:pPr>
        <w:pStyle w:val="663"/>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rPr>
          <w:rFonts w:hint="eastAsia" w:ascii="宋体" w:hAnsi="宋体" w:eastAsia="宋体" w:cs="宋体"/>
          <w:b/>
          <w:bCs/>
          <w:sz w:val="32"/>
          <w:szCs w:val="32"/>
          <w:highlight w:val="none"/>
          <w:lang w:eastAsia="zh-CN"/>
        </w:rPr>
      </w:r>
      <w:r/>
    </w:p>
    <w:p>
      <w:pPr>
        <w:pStyle w:val="663"/>
        <w:jc w:val="left"/>
        <w:keepLines w:val="0"/>
        <w:keepNext w:val="0"/>
        <w:pageBreakBefore w:val="0"/>
        <w:spacing w:line="400" w:lineRule="exact"/>
        <w:widowControl w:val="off"/>
        <w:rPr>
          <w:rFonts w:hint="eastAsia" w:eastAsia="宋体"/>
          <w:b/>
          <w:bCs/>
          <w:color w:val="000000"/>
          <w:sz w:val="24"/>
          <w:lang w:eastAsia="zh-CN"/>
        </w:rPr>
        <w:outlineLvl w:val="9"/>
      </w:pPr>
      <w:r>
        <w:rPr>
          <w:rFonts w:hint="eastAsia"/>
          <w:b/>
          <w:bCs/>
          <w:color w:val="000000"/>
          <w:sz w:val="24"/>
        </w:rPr>
        <w:t xml:space="preserve">采购人（全称）：</w:t>
      </w:r>
      <w:r>
        <w:rPr>
          <w:rFonts w:hint="eastAsia"/>
          <w:b/>
          <w:bCs/>
          <w:color w:val="000000"/>
          <w:sz w:val="24"/>
          <w:u w:val="single"/>
          <w:lang w:eastAsia="zh-CN"/>
        </w:rPr>
        <w:t xml:space="preserve">江苏金湖经济开发区管理委员会（以下简称“买方”）</w:t>
      </w:r>
      <w:r>
        <w:rPr>
          <w:rFonts w:hint="eastAsia" w:eastAsia="宋体"/>
          <w:b/>
          <w:bCs/>
          <w:color w:val="000000"/>
          <w:sz w:val="24"/>
          <w:lang w:eastAsia="zh-CN"/>
        </w:rPr>
      </w:r>
      <w:r/>
    </w:p>
    <w:p>
      <w:pPr>
        <w:pStyle w:val="663"/>
        <w:jc w:val="left"/>
        <w:keepLines w:val="0"/>
        <w:keepNext w:val="0"/>
        <w:pageBreakBefore w:val="0"/>
        <w:spacing w:line="400" w:lineRule="exact"/>
        <w:widowControl w:val="off"/>
        <w:rPr>
          <w:rFonts w:ascii="Times New Roman" w:hAnsi="Times New Roman" w:eastAsia="宋体" w:cs="Times New Roman"/>
          <w:b/>
          <w:bCs/>
          <w:color w:val="000000"/>
          <w:sz w:val="24"/>
          <w:u w:val="single"/>
          <w:lang w:val="en-US" w:eastAsia="zh-CN"/>
        </w:rPr>
        <w:outlineLvl w:val="9"/>
      </w:pPr>
      <w:r>
        <w:rPr>
          <w:rFonts w:hint="eastAsia"/>
          <w:b/>
          <w:bCs/>
          <w:color w:val="000000"/>
          <w:sz w:val="24"/>
        </w:rPr>
        <w:t xml:space="preserve">供应商（全称）：</w:t>
      </w:r>
      <w:r>
        <w:rPr>
          <w:rFonts w:hint="eastAsia" w:ascii="宋体" w:hAnsi="宋体" w:eastAsia="宋体" w:cs="宋体"/>
          <w:b/>
          <w:bCs/>
          <w:color w:val="000000"/>
          <w:sz w:val="24"/>
          <w:u w:val="single"/>
          <w:lang w:val="en-US" w:eastAsia="zh-CN"/>
        </w:rPr>
        <w:t xml:space="preserve">                            </w:t>
      </w:r>
      <w:r>
        <w:rPr>
          <w:rFonts w:hint="eastAsia"/>
          <w:b/>
          <w:bCs/>
          <w:color w:val="000000"/>
          <w:sz w:val="24"/>
          <w:u w:val="single"/>
          <w:lang w:eastAsia="zh-CN"/>
        </w:rPr>
        <w:t xml:space="preserve">（以下简称“</w:t>
      </w:r>
      <w:r>
        <w:rPr>
          <w:rFonts w:hint="eastAsia"/>
          <w:b/>
          <w:bCs/>
          <w:color w:val="000000"/>
          <w:sz w:val="24"/>
          <w:u w:val="single"/>
          <w:lang w:val="en-US" w:eastAsia="zh-CN"/>
        </w:rPr>
        <w:t xml:space="preserve">卖</w:t>
      </w:r>
      <w:r>
        <w:rPr>
          <w:rFonts w:hint="eastAsia"/>
          <w:b/>
          <w:bCs/>
          <w:color w:val="000000"/>
          <w:sz w:val="24"/>
          <w:u w:val="single"/>
          <w:lang w:eastAsia="zh-CN"/>
        </w:rPr>
        <w:t xml:space="preserve">方”）</w:t>
      </w:r>
      <w:r>
        <w:rPr>
          <w:rFonts w:ascii="Times New Roman" w:hAnsi="Times New Roman" w:eastAsia="宋体" w:cs="Times New Roman"/>
          <w:b/>
          <w:bCs/>
          <w:color w:val="000000"/>
          <w:sz w:val="24"/>
          <w:u w:val="single"/>
          <w:lang w:val="en-US" w:eastAsia="zh-CN"/>
        </w:rPr>
      </w:r>
      <w:r/>
    </w:p>
    <w:p>
      <w:pPr>
        <w:pStyle w:val="663"/>
        <w:ind w:firstLine="480"/>
        <w:jc w:val="left"/>
        <w:keepLines w:val="0"/>
        <w:keepNext w:val="0"/>
        <w:pageBreakBefore w:val="0"/>
        <w:spacing w:line="400" w:lineRule="exact"/>
        <w:widowControl w:val="off"/>
        <w:rPr>
          <w:rFonts w:hint="eastAsia" w:ascii="Times New Roman" w:hAnsi="Times New Roman" w:eastAsia="宋体" w:cs="Times New Roman"/>
          <w:color w:val="000000"/>
          <w:sz w:val="24"/>
          <w:szCs w:val="24"/>
          <w:lang w:val="en-US" w:eastAsia="zh-CN" w:bidi="ar-SA"/>
        </w:rPr>
        <w:outlineLvl w:val="9"/>
      </w:pPr>
      <w:r>
        <w:rPr>
          <w:rFonts w:hint="eastAsia"/>
          <w:color w:val="000000"/>
          <w:sz w:val="24"/>
        </w:rPr>
        <w:t xml:space="preserve">根据《中华人民共和国政府采购法》、《中华人民共和国政府采购法实施条例》、《中华人民共和国民法典》等法律法规的规定，双方按照招标结果签订本合同。</w:t>
      </w:r>
      <w:r>
        <w:rPr>
          <w:rFonts w:hint="eastAsia" w:ascii="Times New Roman" w:hAnsi="Times New Roman" w:eastAsia="宋体" w:cs="Times New Roman"/>
          <w:color w:val="000000"/>
          <w:sz w:val="24"/>
          <w:szCs w:val="24"/>
          <w:lang w:val="en-US" w:eastAsia="zh-CN" w:bidi="ar-SA"/>
        </w:rPr>
      </w:r>
      <w:r/>
    </w:p>
    <w:p>
      <w:pPr>
        <w:pStyle w:val="692"/>
        <w:ind w:left="0" w:firstLine="482"/>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一、合同文件：下列关于金湖县政府采购的招、投标文件是构成本合同不可分割的部分：</w:t>
      </w:r>
      <w:r>
        <w:rPr>
          <w:rFonts w:hint="eastAsia" w:ascii="宋体" w:hAnsi="宋体" w:eastAsia="宋体" w:cs="宋体"/>
          <w:b/>
          <w:bCs/>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（1）合同条款及前附表；</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（2）卖方提交的投标文件；</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（3）中标通知书；</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（4）买方和卖方商定的其他必要文件。</w:t>
      </w:r>
      <w:r>
        <w:rPr>
          <w:rFonts w:hint="eastAsia" w:ascii="宋体" w:hAnsi="宋体" w:eastAsia="宋体" w:cs="宋体"/>
          <w:color w:val="000000"/>
          <w:sz w:val="24"/>
          <w:szCs w:val="24"/>
          <w:lang w:val="en-US" w:eastAsia="zh-CN" w:bidi="ar-SA"/>
        </w:rPr>
      </w:r>
      <w:r/>
    </w:p>
    <w:p>
      <w:pPr>
        <w:pStyle w:val="692"/>
        <w:ind w:left="0" w:firstLine="482"/>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二、合同范围和条件</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金额为（大写）：_________________元整（¥：__________元）人民币。本合同价款包含所有卖方提供合同约定的产品及卖方提供合同中产品所支出的必要费用，买方在上述合同价款之外不再向卖方支付其他任何费用。</w:t>
      </w:r>
      <w:r>
        <w:rPr>
          <w:rFonts w:hint="eastAsia" w:ascii="宋体" w:hAnsi="宋体" w:eastAsia="宋体" w:cs="宋体"/>
          <w:color w:val="000000"/>
          <w:sz w:val="24"/>
          <w:szCs w:val="24"/>
          <w:lang w:val="en-US" w:eastAsia="zh-CN" w:bidi="ar-SA"/>
        </w:rPr>
      </w:r>
      <w:r/>
    </w:p>
    <w:p>
      <w:pPr>
        <w:pStyle w:val="786"/>
        <w:numPr>
          <w:ilvl w:val="0"/>
          <w:numId w:val="0"/>
        </w:numPr>
        <w:spacing w:line="440" w:lineRule="exact"/>
        <w:rPr>
          <w:rFonts w:hint="eastAsia" w:hAnsi="宋体" w:cs="宋体"/>
          <w:b/>
          <w:color w:val="000000"/>
          <w:sz w:val="24"/>
          <w:szCs w:val="24"/>
        </w:rPr>
      </w:pPr>
      <w:r>
        <w:rPr>
          <w:rFonts w:hint="eastAsia" w:hAnsi="宋体" w:cs="宋体"/>
          <w:b/>
          <w:color w:val="000000"/>
          <w:sz w:val="24"/>
          <w:szCs w:val="24"/>
          <w:lang w:val="en-US" w:eastAsia="zh-CN"/>
        </w:rPr>
        <w:t xml:space="preserve">三、</w:t>
      </w:r>
      <w:r>
        <w:rPr>
          <w:rFonts w:hint="eastAsia" w:hAnsi="宋体" w:cs="宋体"/>
          <w:b/>
          <w:color w:val="000000"/>
          <w:sz w:val="24"/>
          <w:szCs w:val="24"/>
        </w:rPr>
        <w:t xml:space="preserve">报价明细如下表：</w:t>
      </w:r>
      <w:r>
        <w:rPr>
          <w:rFonts w:hint="eastAsia" w:hAnsi="宋体" w:cs="宋体"/>
          <w:b/>
          <w:color w:val="000000"/>
          <w:sz w:val="24"/>
          <w:szCs w:val="24"/>
        </w:rPr>
      </w:r>
      <w:r/>
    </w:p>
    <w:tbl>
      <w:tblPr>
        <w:tblStyle w:val="787"/>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151"/>
        <w:gridCol w:w="1294"/>
        <w:gridCol w:w="1155"/>
        <w:gridCol w:w="1200"/>
        <w:gridCol w:w="1515"/>
        <w:gridCol w:w="1297"/>
      </w:tblGrid>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序号</w:t>
            </w:r>
            <w:r>
              <w:rPr>
                <w:rFonts w:hint="eastAsia" w:ascii="宋体" w:hAnsi="宋体" w:eastAsia="宋体" w:cs="宋体"/>
                <w:b/>
                <w:bCs/>
                <w:sz w:val="21"/>
                <w:szCs w:val="21"/>
                <w:vertAlign w:val="baseline"/>
                <w:lang w:eastAsia="zh-CN"/>
              </w:rPr>
            </w:r>
            <w:r/>
          </w:p>
        </w:tc>
        <w:tc>
          <w:tcPr>
            <w:tcW w:w="215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设备名称</w:t>
            </w:r>
            <w:r>
              <w:rPr>
                <w:rFonts w:ascii="宋体" w:hAnsi="宋体" w:eastAsia="宋体" w:cs="宋体"/>
                <w:b/>
                <w:bCs/>
                <w:sz w:val="21"/>
                <w:szCs w:val="21"/>
                <w:vertAlign w:val="baseline"/>
                <w:lang w:val="en-US" w:eastAsia="zh-CN"/>
              </w:rPr>
            </w:r>
            <w:r/>
          </w:p>
        </w:tc>
        <w:tc>
          <w:tcPr>
            <w:tcW w:w="1294"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单位</w:t>
            </w:r>
            <w:r>
              <w:rPr>
                <w:rFonts w:hint="eastAsia" w:ascii="宋体" w:hAnsi="宋体" w:eastAsia="宋体" w:cs="宋体"/>
                <w:b/>
                <w:bCs/>
                <w:sz w:val="21"/>
                <w:szCs w:val="21"/>
                <w:vertAlign w:val="baseline"/>
                <w:lang w:eastAsia="zh-CN"/>
              </w:rPr>
            </w:r>
            <w:r/>
          </w:p>
        </w:tc>
        <w:tc>
          <w:tcPr>
            <w:tcW w:w="1155"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数量</w:t>
            </w:r>
            <w:r>
              <w:rPr>
                <w:rFonts w:hint="eastAsia" w:ascii="宋体" w:hAnsi="宋体" w:eastAsia="宋体" w:cs="宋体"/>
                <w:b/>
                <w:bCs/>
                <w:sz w:val="21"/>
                <w:szCs w:val="21"/>
                <w:vertAlign w:val="baseline"/>
                <w:lang w:eastAsia="zh-CN"/>
              </w:rPr>
            </w:r>
            <w:r/>
          </w:p>
        </w:tc>
        <w:tc>
          <w:tcPr>
            <w:tcW w:w="120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eastAsia="zh-CN"/>
              </w:rPr>
            </w:r>
            <w:r/>
          </w:p>
        </w:tc>
        <w:tc>
          <w:tcPr>
            <w:tcW w:w="1515"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eastAsia="zh-CN"/>
              </w:rPr>
            </w:r>
            <w:r/>
          </w:p>
        </w:tc>
        <w:tc>
          <w:tcPr>
            <w:tcW w:w="1297"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备注</w:t>
            </w:r>
            <w:r>
              <w:rPr>
                <w:rFonts w:ascii="宋体" w:hAnsi="宋体" w:eastAsia="宋体" w:cs="宋体"/>
                <w:b/>
                <w:bCs/>
                <w:sz w:val="21"/>
                <w:szCs w:val="21"/>
                <w:vertAlign w:val="baseline"/>
                <w:lang w:val="en-US" w:eastAsia="zh-CN"/>
              </w:rPr>
            </w:r>
            <w:r/>
          </w:p>
        </w:tc>
      </w:tr>
      <w:tr>
        <w:trPr>
          <w:trHeight w:val="438"/>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w:t>
            </w:r>
            <w:r>
              <w:rPr>
                <w:rFonts w:ascii="宋体" w:hAnsi="宋体" w:eastAsia="宋体" w:cs="宋体"/>
                <w:sz w:val="21"/>
                <w:szCs w:val="21"/>
                <w:vertAlign w:val="baseline"/>
                <w:lang w:val="en-US" w:eastAsia="zh-CN"/>
              </w:rPr>
            </w:r>
            <w:r/>
          </w:p>
        </w:tc>
        <w:tc>
          <w:tcPr>
            <w:tcW w:w="2151" w:type="dxa"/>
            <w:vAlign w:val="center"/>
            <w:textDirection w:val="lrTb"/>
            <w:noWrap w:val="false"/>
          </w:tcPr>
          <w:p>
            <w:pPr>
              <w:pStyle w:val="668"/>
              <w:ind w:left="0" w:right="0" w:firstLine="0"/>
              <w:jc w:val="center"/>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8"/>
              <w:ind w:left="0" w:right="0" w:firstLine="0"/>
              <w:jc w:val="center"/>
              <w:keepLines w:val="0"/>
              <w:keepNext w:val="0"/>
              <w:pageBreakBefore w:val="0"/>
              <w:spacing w:before="71" w:after="0" w:line="400" w:lineRule="exact"/>
              <w:widowControl/>
              <w:tabs>
                <w:tab w:val="left" w:pos="1440" w:leader="none"/>
              </w:tabs>
              <w:rPr>
                <w:rFonts w:hint="eastAsia" w:ascii="宋体" w:hAnsi="宋体" w:eastAsia="宋体" w:cs="宋体"/>
                <w:sz w:val="21"/>
                <w:szCs w:val="21"/>
                <w:vertAlign w:val="baseline"/>
                <w:lang w:eastAsia="zh-CN"/>
              </w:rPr>
              <w:outlineLvl w:val="8"/>
            </w:pPr>
            <w:r>
              <w:rPr>
                <w:rFonts w:hint="eastAsia" w:ascii="宋体" w:hAnsi="宋体" w:eastAsia="宋体" w:cs="宋体"/>
                <w:sz w:val="21"/>
                <w:szCs w:val="21"/>
                <w:vertAlign w:val="baseline"/>
                <w:lang w:eastAsia="zh-CN"/>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r>
            <w:r/>
          </w:p>
        </w:tc>
        <w:tc>
          <w:tcPr>
            <w:tcW w:w="2151"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r>
            <w:r/>
          </w:p>
        </w:tc>
        <w:tc>
          <w:tcPr>
            <w:tcW w:w="2151" w:type="dxa"/>
            <w:vAlign w:val="center"/>
            <w:textDirection w:val="lrTb"/>
            <w:noWrap w:val="false"/>
          </w:tcPr>
          <w:p>
            <w:pPr>
              <w:pStyle w:val="663"/>
              <w:jc w:val="center"/>
              <w:keepLines w:val="0"/>
              <w:keepNext w:val="0"/>
              <w:pageBreakBefore w:val="0"/>
              <w:spacing w:line="400" w:lineRule="exact"/>
              <w:widowControl/>
              <w:rPr>
                <w:rFonts w:ascii="宋体" w:hAnsi="宋体" w:eastAsia="宋体" w:cs="宋体"/>
                <w:sz w:val="21"/>
                <w:szCs w:val="21"/>
                <w:vertAlign w:val="baseline"/>
                <w:lang w:val="en-US" w:eastAsia="zh-CN"/>
              </w:rPr>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sz w:val="21"/>
                <w:szCs w:val="21"/>
                <w:vertAlign w:val="baseline"/>
                <w:lang w:val="en-US" w:eastAsia="zh-CN"/>
              </w:rPr>
              <w:suppressLineNumbers w:val="0"/>
            </w:pPr>
            <w:r>
              <w:rPr>
                <w:rFonts w:ascii="宋体" w:hAnsi="宋体" w:eastAsia="宋体" w:cs="宋体"/>
                <w:sz w:val="21"/>
                <w:szCs w:val="21"/>
                <w:vertAlign w:val="baseline"/>
                <w:lang w:val="en-US" w:eastAsia="zh-CN"/>
              </w:rPr>
            </w:r>
            <w:r/>
          </w:p>
        </w:tc>
        <w:tc>
          <w:tcPr>
            <w:tcW w:w="2151" w:type="dxa"/>
            <w:vAlign w:val="center"/>
            <w:textDirection w:val="lrTb"/>
            <w:noWrap w:val="false"/>
          </w:tcPr>
          <w:p>
            <w:pPr>
              <w:pStyle w:val="663"/>
              <w:jc w:val="center"/>
              <w:keepLines w:val="0"/>
              <w:keepNext w:val="0"/>
              <w:pageBreakBefore w:val="0"/>
              <w:spacing w:line="400" w:lineRule="exact"/>
              <w:widowControl/>
              <w:rPr>
                <w:rFonts w:ascii="宋体" w:hAnsi="宋体" w:eastAsia="宋体" w:cs="宋体"/>
                <w:sz w:val="21"/>
                <w:szCs w:val="21"/>
                <w:vertAlign w:val="baseline"/>
                <w:lang w:val="en-US" w:eastAsia="zh-CN"/>
              </w:rPr>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gridSpan w:val="2"/>
            <w:tcW w:w="326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eastAsia="zh-CN"/>
              </w:rPr>
              <w:t xml:space="preserve">合</w:t>
            </w:r>
            <w:r>
              <w:rPr>
                <w:rFonts w:hint="eastAsia" w:ascii="宋体" w:hAnsi="宋体" w:eastAsia="宋体" w:cs="宋体"/>
                <w:sz w:val="21"/>
                <w:szCs w:val="21"/>
                <w:vertAlign w:val="baseline"/>
                <w:lang w:val="en-US" w:eastAsia="zh-CN"/>
              </w:rPr>
              <w:t xml:space="preserve">  </w:t>
            </w:r>
            <w:r>
              <w:rPr>
                <w:rFonts w:hint="eastAsia" w:ascii="宋体" w:hAnsi="宋体" w:eastAsia="宋体" w:cs="宋体"/>
                <w:sz w:val="21"/>
                <w:szCs w:val="21"/>
                <w:vertAlign w:val="baseline"/>
                <w:lang w:eastAsia="zh-CN"/>
              </w:rPr>
              <w:t xml:space="preserve">计</w:t>
            </w:r>
            <w:r>
              <w:rPr>
                <w:rFonts w:hint="eastAsia" w:ascii="宋体" w:hAnsi="宋体" w:eastAsia="宋体" w:cs="宋体"/>
                <w:sz w:val="21"/>
                <w:szCs w:val="21"/>
                <w:vertAlign w:val="baseline"/>
              </w:rPr>
            </w:r>
            <w:r/>
          </w:p>
        </w:tc>
        <w:tc>
          <w:tcPr>
            <w:gridSpan w:val="5"/>
            <w:tcW w:w="646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tabs>
                <w:tab w:val="left" w:pos="3108" w:leader="none"/>
              </w:tabs>
              <w:rPr>
                <w:rFonts w:hint="eastAsia" w:ascii="宋体" w:hAnsi="宋体" w:eastAsia="宋体" w:cs="宋体"/>
                <w:sz w:val="21"/>
                <w:szCs w:val="21"/>
                <w:vertAlign w:val="baseline"/>
                <w:lang w:eastAsia="zh-CN"/>
              </w:rPr>
              <w:suppressLineNumbers w:val="0"/>
            </w:pPr>
            <w:r>
              <w:rPr>
                <w:rFonts w:hint="eastAsia" w:ascii="宋体" w:hAnsi="宋体" w:eastAsia="宋体" w:cs="宋体"/>
                <w:sz w:val="21"/>
                <w:szCs w:val="21"/>
                <w:vertAlign w:val="baseline"/>
                <w:lang w:eastAsia="zh-CN"/>
              </w:rPr>
              <w:t xml:space="preserve">大写：</w:t>
            </w:r>
            <w:r>
              <w:rPr>
                <w:rFonts w:hint="eastAsia" w:ascii="宋体" w:hAnsi="宋体" w:eastAsia="宋体" w:cs="宋体"/>
                <w:sz w:val="21"/>
                <w:szCs w:val="21"/>
                <w:vertAlign w:val="baseline"/>
                <w:lang w:val="en-US" w:eastAsia="zh-CN"/>
              </w:rPr>
              <w:t xml:space="preserve">             元（小写¥：          ）</w:t>
            </w:r>
            <w:r>
              <w:rPr>
                <w:rFonts w:hint="eastAsia" w:ascii="宋体" w:hAnsi="宋体" w:eastAsia="宋体" w:cs="宋体"/>
                <w:sz w:val="21"/>
                <w:szCs w:val="21"/>
                <w:vertAlign w:val="baseline"/>
                <w:lang w:eastAsia="zh-CN"/>
              </w:rPr>
            </w:r>
            <w:r/>
          </w:p>
        </w:tc>
      </w:tr>
    </w:tbl>
    <w:p>
      <w:pPr>
        <w:pStyle w:val="786"/>
        <w:numPr>
          <w:ilvl w:val="0"/>
          <w:numId w:val="0"/>
        </w:numPr>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sz w:val="24"/>
          <w:szCs w:val="24"/>
          <w:lang w:eastAsia="zh-CN"/>
        </w:rPr>
        <w:t xml:space="preserve">四、</w:t>
      </w:r>
      <w:r>
        <w:rPr>
          <w:rFonts w:hint="eastAsia" w:hAnsi="宋体" w:eastAsia="宋体" w:cs="宋体"/>
          <w:b/>
          <w:sz w:val="24"/>
          <w:szCs w:val="24"/>
          <w:lang w:val="en-US" w:eastAsia="zh-CN"/>
        </w:rPr>
        <w:t xml:space="preserve">供货期限</w:t>
      </w:r>
      <w:r>
        <w:rPr>
          <w:rFonts w:hint="eastAsia" w:ascii="宋体" w:hAnsi="宋体" w:eastAsia="宋体" w:cs="宋体"/>
          <w:b/>
          <w:sz w:val="24"/>
          <w:szCs w:val="24"/>
        </w:rPr>
        <w:t xml:space="preserve">：</w:t>
      </w:r>
      <w:r>
        <w:rPr>
          <w:rFonts w:hint="eastAsia" w:ascii="宋体" w:hAnsi="宋体" w:eastAsia="宋体" w:cs="宋体"/>
          <w:b w:val="0"/>
          <w:bCs/>
          <w:sz w:val="24"/>
          <w:szCs w:val="24"/>
          <w:lang w:val="en-US" w:eastAsia="zh-CN"/>
        </w:rPr>
        <w:t xml:space="preserve">合同签订后</w:t>
      </w:r>
      <w:r>
        <w:rPr>
          <w:rFonts w:hint="eastAsia"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lang w:val="en-US" w:eastAsia="zh-CN"/>
        </w:rPr>
        <w:t xml:space="preserve">天内</w:t>
      </w:r>
      <w:r>
        <w:rPr>
          <w:rFonts w:hint="eastAsia" w:hAnsi="宋体" w:eastAsia="宋体" w:cs="宋体"/>
          <w:b w:val="0"/>
          <w:bCs/>
          <w:sz w:val="24"/>
          <w:szCs w:val="24"/>
          <w:highlight w:val="none"/>
          <w:lang w:val="en-US" w:eastAsia="zh-CN"/>
        </w:rPr>
        <w:t xml:space="preserve">供货</w:t>
      </w:r>
      <w:r>
        <w:rPr>
          <w:rFonts w:hint="eastAsia" w:ascii="宋体" w:hAnsi="宋体" w:eastAsia="宋体" w:cs="宋体"/>
          <w:b w:val="0"/>
          <w:bCs/>
          <w:sz w:val="24"/>
          <w:szCs w:val="24"/>
          <w:lang w:val="en-US" w:eastAsia="zh-CN"/>
        </w:rPr>
        <w:t xml:space="preserve">完毕并验收合格</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786"/>
        <w:numPr>
          <w:ilvl w:val="0"/>
          <w:numId w:val="0"/>
        </w:numPr>
        <w:ind w:firstLine="482"/>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五、质量：</w:t>
      </w:r>
      <w:r>
        <w:rPr>
          <w:rFonts w:hint="eastAsia" w:ascii="宋体" w:hAnsi="宋体" w:eastAsia="宋体" w:cs="宋体"/>
          <w:b w:val="0"/>
          <w:bCs/>
          <w:sz w:val="24"/>
          <w:szCs w:val="24"/>
          <w:lang w:eastAsia="zh-CN"/>
        </w:rPr>
        <w:t xml:space="preserve">合格，满足采购需求</w:t>
      </w:r>
      <w:r>
        <w:rPr>
          <w:rFonts w:hint="eastAsia" w:ascii="宋体" w:hAnsi="宋体" w:eastAsia="宋体" w:cs="宋体"/>
          <w:b/>
          <w:bCs w:val="0"/>
          <w:sz w:val="24"/>
          <w:szCs w:val="24"/>
          <w:lang w:eastAsia="zh-CN"/>
        </w:rPr>
      </w:r>
      <w:r/>
    </w:p>
    <w:p>
      <w:pPr>
        <w:pStyle w:val="786"/>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项目实施</w:t>
      </w:r>
      <w:r>
        <w:rPr>
          <w:rFonts w:hint="eastAsia" w:ascii="宋体" w:hAnsi="宋体" w:eastAsia="宋体" w:cs="宋体"/>
          <w:b/>
          <w:sz w:val="24"/>
          <w:szCs w:val="24"/>
        </w:rPr>
        <w:t xml:space="preserve">地点：</w:t>
      </w:r>
      <w:r>
        <w:rPr>
          <w:rFonts w:hint="eastAsia" w:ascii="宋体" w:hAnsi="宋体" w:eastAsia="宋体" w:cs="宋体"/>
          <w:b w:val="0"/>
          <w:bCs/>
          <w:sz w:val="24"/>
          <w:szCs w:val="24"/>
          <w:lang w:eastAsia="zh-CN"/>
        </w:rPr>
        <w:t xml:space="preserve">采购人指定地点</w:t>
      </w:r>
      <w:r>
        <w:rPr>
          <w:rFonts w:hint="eastAsia" w:ascii="宋体" w:hAnsi="宋体" w:eastAsia="宋体" w:cs="宋体"/>
          <w:b w:val="0"/>
          <w:bCs/>
          <w:sz w:val="24"/>
          <w:szCs w:val="24"/>
          <w:lang w:eastAsia="zh-CN"/>
        </w:rPr>
      </w:r>
      <w:r/>
    </w:p>
    <w:p>
      <w:pPr>
        <w:pStyle w:val="786"/>
        <w:ind w:firstLine="482"/>
        <w:jc w:val="left"/>
        <w:keepLines w:val="0"/>
        <w:keepNext w:val="0"/>
        <w:pageBreakBefore w:val="0"/>
        <w:spacing w:line="400" w:lineRule="exact"/>
        <w:rPr>
          <w:rFonts w:ascii="宋体" w:hAnsi="宋体" w:eastAsia="宋体" w:cs="宋体"/>
          <w:b/>
          <w:sz w:val="24"/>
          <w:szCs w:val="24"/>
          <w:lang w:val="en-US" w:eastAsia="zh-CN"/>
        </w:rPr>
      </w:pPr>
      <w:r>
        <w:rPr>
          <w:rFonts w:hint="eastAsia" w:ascii="宋体" w:hAnsi="宋体" w:eastAsia="宋体" w:cs="宋体"/>
          <w:b/>
          <w:sz w:val="24"/>
          <w:szCs w:val="24"/>
          <w:lang w:eastAsia="zh-CN"/>
        </w:rPr>
        <w:t xml:space="preserve">七、质保期：</w:t>
      </w:r>
      <w:r>
        <w:rPr>
          <w:rFonts w:hint="eastAsia" w:hAnsi="宋体" w:eastAsia="宋体" w:cs="宋体"/>
          <w:b/>
          <w:sz w:val="24"/>
          <w:szCs w:val="24"/>
          <w:u w:val="single"/>
          <w:lang w:val="en-US" w:eastAsia="zh-CN"/>
        </w:rPr>
        <w:t xml:space="preserve">    </w:t>
      </w:r>
      <w:r>
        <w:rPr>
          <w:rFonts w:hint="eastAsia" w:ascii="宋体" w:hAnsi="宋体" w:eastAsia="宋体" w:cs="宋体"/>
          <w:b w:val="0"/>
          <w:bCs/>
          <w:sz w:val="24"/>
          <w:szCs w:val="24"/>
          <w:lang w:val="en-US" w:eastAsia="zh-CN"/>
        </w:rPr>
        <w:t xml:space="preserve">年（自验收合格之日起算）</w:t>
      </w:r>
      <w:r>
        <w:rPr>
          <w:rFonts w:ascii="宋体" w:hAnsi="宋体" w:eastAsia="宋体" w:cs="宋体"/>
          <w:b/>
          <w:sz w:val="24"/>
          <w:szCs w:val="24"/>
          <w:lang w:val="en-US" w:eastAsia="zh-CN"/>
        </w:rPr>
      </w:r>
      <w:r/>
    </w:p>
    <w:p>
      <w:pPr>
        <w:pStyle w:val="663"/>
        <w:ind w:firstLine="482"/>
        <w:jc w:val="left"/>
        <w:keepLines w:val="0"/>
        <w:keepNext w:val="0"/>
        <w:pageBreakBefore w:val="0"/>
        <w:spacing w:line="400" w:lineRule="exact"/>
        <w:tabs>
          <w:tab w:val="left" w:pos="180" w:leader="none"/>
        </w:tabs>
        <w:rPr>
          <w:rFonts w:ascii="宋体" w:hAnsi="宋体" w:eastAsia="宋体" w:cs="宋体"/>
          <w:b w:val="0"/>
          <w:bCs/>
          <w:sz w:val="24"/>
          <w:szCs w:val="24"/>
          <w:lang w:val="en-US" w:eastAsia="zh-CN" w:bidi="ar-SA"/>
        </w:rPr>
      </w:pPr>
      <w:r>
        <w:rPr>
          <w:rFonts w:hint="eastAsia" w:ascii="宋体" w:hAnsi="宋体" w:cs="宋体"/>
          <w:b/>
          <w:bCs/>
          <w:color w:val="000000"/>
          <w:sz w:val="24"/>
          <w:lang w:eastAsia="zh-CN"/>
        </w:rPr>
        <w:t xml:space="preserve">八</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付款方式：</w:t>
      </w:r>
      <w:r>
        <w:rPr>
          <w:rFonts w:hint="eastAsia" w:ascii="宋体" w:hAnsi="宋体" w:cs="宋体"/>
          <w:sz w:val="24"/>
          <w:lang w:val="en-US" w:eastAsia="zh-CN"/>
        </w:rPr>
        <w:t xml:space="preserve">所有货物供货完成后付合同价的50%，经消防大队试用两个月，满足要求后出具验收合格证明付清余款。</w:t>
      </w:r>
      <w:r>
        <w:rPr>
          <w:rFonts w:ascii="宋体" w:hAnsi="宋体" w:eastAsia="宋体" w:cs="宋体"/>
          <w:b w:val="0"/>
          <w:bCs/>
          <w:sz w:val="24"/>
          <w:szCs w:val="24"/>
          <w:lang w:val="en-US" w:eastAsia="zh-CN" w:bidi="ar-SA"/>
        </w:rPr>
      </w:r>
      <w:r/>
    </w:p>
    <w:p>
      <w:pPr>
        <w:pStyle w:val="663"/>
        <w:ind w:firstLine="482"/>
        <w:jc w:val="left"/>
        <w:keepLines w:val="0"/>
        <w:keepNext w:val="0"/>
        <w:pageBreakBefore w:val="0"/>
        <w:spacing w:line="40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九、项目验收</w:t>
      </w:r>
      <w:r>
        <w:rPr>
          <w:rFonts w:hint="eastAsia" w:ascii="宋体" w:hAnsi="宋体" w:eastAsia="宋体" w:cs="宋体"/>
          <w:b/>
          <w:sz w:val="24"/>
          <w:szCs w:val="24"/>
          <w:lang w:val="en-US" w:eastAsia="zh-CN" w:bidi="ar-SA"/>
        </w:rPr>
      </w:r>
      <w:r/>
    </w:p>
    <w:p>
      <w:pPr>
        <w:pStyle w:val="663"/>
        <w:ind w:firstLine="480"/>
        <w:jc w:val="left"/>
        <w:keepLines w:val="0"/>
        <w:keepNext w:val="0"/>
        <w:pageBreakBefore w:val="0"/>
        <w:spacing w:line="400" w:lineRule="exact"/>
        <w:tabs>
          <w:tab w:val="left" w:pos="180" w:leader="none"/>
        </w:tabs>
        <w:rPr>
          <w:rFonts w:hint="eastAsia" w:ascii="宋体" w:hAnsi="宋体" w:cs="宋体"/>
          <w:color w:val="000000"/>
          <w:sz w:val="24"/>
          <w:lang w:val="en-US" w:eastAsia="zh-CN"/>
        </w:rPr>
      </w:pPr>
      <w:r>
        <w:rPr>
          <w:rFonts w:hint="eastAsia" w:ascii="宋体" w:hAnsi="宋体" w:cs="Times New Roman"/>
          <w:bCs/>
          <w:sz w:val="24"/>
          <w:lang w:val="en-US" w:eastAsia="zh-CN"/>
        </w:rPr>
        <w:t xml:space="preserve">项目完成后，卖方按规定提交验收申请，</w:t>
      </w:r>
      <w:r>
        <w:rPr>
          <w:rFonts w:hint="eastAsia" w:ascii="宋体" w:hAnsi="宋体" w:eastAsia="宋体" w:cs="Times New Roman"/>
          <w:bCs/>
          <w:sz w:val="24"/>
          <w:lang w:val="en-US" w:eastAsia="zh-CN"/>
        </w:rPr>
        <w:t xml:space="preserve">验收申请</w:t>
      </w:r>
      <w:r>
        <w:rPr>
          <w:rFonts w:hint="eastAsia" w:ascii="宋体" w:hAnsi="宋体" w:cs="Times New Roman"/>
          <w:bCs/>
          <w:sz w:val="24"/>
          <w:lang w:val="en-US" w:eastAsia="zh-CN"/>
        </w:rPr>
        <w:t xml:space="preserve">提交</w:t>
      </w:r>
      <w:r>
        <w:rPr>
          <w:rFonts w:hint="eastAsia" w:ascii="宋体" w:hAnsi="宋体" w:eastAsia="宋体" w:cs="Times New Roman"/>
          <w:bCs/>
          <w:sz w:val="24"/>
          <w:lang w:val="en-US" w:eastAsia="zh-CN"/>
        </w:rPr>
        <w:t xml:space="preserve">后5个工作日内</w:t>
      </w:r>
      <w:r>
        <w:rPr>
          <w:rFonts w:hint="eastAsia" w:ascii="宋体" w:hAnsi="宋体" w:eastAsia="宋体" w:cs="宋体"/>
          <w:bCs/>
          <w:sz w:val="24"/>
          <w:lang w:val="en-US" w:eastAsia="zh-CN"/>
        </w:rPr>
        <w:t xml:space="preserve">买方</w:t>
      </w:r>
      <w:r>
        <w:rPr>
          <w:rFonts w:hint="eastAsia" w:ascii="宋体" w:hAnsi="宋体" w:eastAsia="宋体" w:cs="宋体"/>
          <w:bCs/>
          <w:sz w:val="24"/>
        </w:rPr>
        <w:t xml:space="preserve">依法组织履约验收工作</w:t>
      </w:r>
      <w:r>
        <w:rPr>
          <w:rFonts w:hint="eastAsia" w:ascii="宋体" w:hAnsi="宋体" w:eastAsia="宋体" w:cs="Times New Roman"/>
          <w:bCs/>
          <w:sz w:val="24"/>
          <w:lang w:val="en-US" w:eastAsia="zh-CN"/>
        </w:rPr>
        <w:t xml:space="preserve">，</w:t>
      </w:r>
      <w:r>
        <w:rPr>
          <w:rFonts w:hint="eastAsia" w:ascii="宋体" w:hAnsi="宋体" w:cs="Times New Roman"/>
          <w:bCs/>
          <w:sz w:val="24"/>
          <w:lang w:val="en-US" w:eastAsia="zh-CN"/>
        </w:rPr>
        <w:t xml:space="preserve">验收合格后</w:t>
      </w:r>
      <w:r>
        <w:rPr>
          <w:rFonts w:hint="eastAsia" w:ascii="宋体" w:hAnsi="宋体" w:eastAsia="宋体" w:cs="Times New Roman"/>
          <w:bCs/>
          <w:sz w:val="24"/>
          <w:lang w:val="en-US" w:eastAsia="zh-CN"/>
        </w:rPr>
        <w:t xml:space="preserve">2个工作日内出</w:t>
      </w:r>
      <w:r>
        <w:rPr>
          <w:rFonts w:hint="eastAsia" w:ascii="宋体" w:hAnsi="宋体" w:cs="Times New Roman"/>
          <w:bCs/>
          <w:sz w:val="24"/>
          <w:lang w:val="en-US" w:eastAsia="zh-CN"/>
        </w:rPr>
        <w:t xml:space="preserve">具</w:t>
      </w:r>
      <w:r>
        <w:rPr>
          <w:rFonts w:hint="eastAsia" w:ascii="宋体" w:hAnsi="宋体" w:eastAsia="宋体" w:cs="Times New Roman"/>
          <w:bCs/>
          <w:sz w:val="24"/>
          <w:lang w:val="en-US" w:eastAsia="zh-CN"/>
        </w:rPr>
        <w:t xml:space="preserve">验收书</w:t>
      </w:r>
      <w:r>
        <w:rPr>
          <w:rFonts w:hint="eastAsia" w:ascii="宋体" w:hAnsi="宋体" w:cs="Times New Roman"/>
          <w:bCs/>
          <w:sz w:val="24"/>
          <w:lang w:val="en-US" w:eastAsia="zh-CN"/>
        </w:rPr>
        <w:t xml:space="preserve">。因货物质量问题导致的重复验收费用由供应商承担</w:t>
      </w:r>
      <w:r>
        <w:rPr>
          <w:rFonts w:hint="eastAsia" w:ascii="宋体" w:hAnsi="宋体" w:cs="宋体"/>
          <w:color w:val="000000"/>
          <w:sz w:val="24"/>
          <w:lang w:val="en-US" w:eastAsia="zh-CN"/>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、供货及知识产权</w:t>
      </w:r>
      <w:r>
        <w:rPr>
          <w:rFonts w:hint="eastAsia" w:ascii="宋体" w:hAnsi="宋体" w:cs="宋体"/>
          <w:b/>
          <w:bCs/>
          <w:sz w:val="24"/>
        </w:rPr>
      </w:r>
      <w:r/>
    </w:p>
    <w:p>
      <w:pPr>
        <w:pStyle w:val="663"/>
        <w:ind w:firstLine="480"/>
        <w:jc w:val="left"/>
        <w:keepLines w:val="0"/>
        <w:keepNext w:val="0"/>
        <w:pageBreakBefore w:val="0"/>
        <w:spacing w:line="400" w:lineRule="exact"/>
        <w:widowControl/>
        <w:tabs>
          <w:tab w:val="left" w:pos="567" w:leader="none"/>
        </w:tabs>
        <w:rPr>
          <w:rFonts w:hint="eastAsia" w:ascii="宋体" w:hAnsi="宋体" w:cs="宋体"/>
          <w:bCs/>
          <w:sz w:val="24"/>
        </w:rPr>
      </w:pPr>
      <w:r>
        <w:rPr>
          <w:rFonts w:hint="eastAsia" w:ascii="宋体" w:hAnsi="宋体" w:cs="宋体"/>
          <w:bCs/>
          <w:sz w:val="24"/>
          <w:lang w:eastAsia="zh-CN"/>
        </w:rPr>
        <w:t xml:space="preserve">卖方</w:t>
      </w:r>
      <w:r>
        <w:rPr>
          <w:rFonts w:hint="eastAsia" w:ascii="宋体" w:hAnsi="宋体" w:cs="宋体"/>
          <w:bCs/>
          <w:sz w:val="24"/>
        </w:rPr>
        <w:t xml:space="preserve">应按</w:t>
      </w:r>
      <w:r>
        <w:rPr>
          <w:rFonts w:hint="eastAsia" w:ascii="宋体" w:hAnsi="宋体" w:cs="宋体"/>
          <w:bCs/>
          <w:sz w:val="24"/>
          <w:lang w:eastAsia="zh-CN"/>
        </w:rPr>
        <w:t xml:space="preserve">磋商</w:t>
      </w:r>
      <w:r>
        <w:rPr>
          <w:rFonts w:hint="eastAsia" w:ascii="宋体" w:hAnsi="宋体" w:cs="宋体"/>
          <w:bCs/>
          <w:sz w:val="24"/>
        </w:rPr>
        <w:t xml:space="preserve">文件规定及响应文件承诺的货物性能、技术要求、质量标准向</w:t>
      </w:r>
      <w:r>
        <w:rPr>
          <w:rFonts w:hint="eastAsia" w:ascii="宋体" w:hAnsi="宋体" w:cs="宋体"/>
          <w:bCs/>
          <w:sz w:val="24"/>
          <w:lang w:eastAsia="zh-CN"/>
        </w:rPr>
        <w:t xml:space="preserve">买方</w:t>
      </w:r>
      <w:r>
        <w:rPr>
          <w:rFonts w:hint="eastAsia" w:ascii="宋体" w:hAnsi="宋体" w:cs="宋体"/>
          <w:bCs/>
          <w:sz w:val="24"/>
        </w:rPr>
        <w:t xml:space="preserve">提供未经使用的全新产品。</w:t>
      </w:r>
      <w:r>
        <w:rPr>
          <w:rFonts w:hint="eastAsia" w:ascii="宋体" w:hAnsi="宋体" w:cs="宋体"/>
          <w:bCs/>
          <w:sz w:val="24"/>
          <w:lang w:eastAsia="zh-CN"/>
        </w:rPr>
        <w:t xml:space="preserve">卖方</w:t>
      </w:r>
      <w:r>
        <w:rPr>
          <w:rFonts w:hint="eastAsia" w:ascii="宋体" w:hAnsi="宋体" w:cs="宋体"/>
          <w:bCs/>
          <w:sz w:val="24"/>
        </w:rPr>
        <w:t xml:space="preserve">应保证</w:t>
      </w:r>
      <w:r>
        <w:rPr>
          <w:rFonts w:hint="eastAsia" w:ascii="宋体" w:hAnsi="宋体" w:cs="宋体"/>
          <w:bCs/>
          <w:sz w:val="24"/>
          <w:lang w:eastAsia="zh-CN"/>
        </w:rPr>
        <w:t xml:space="preserve">买方</w:t>
      </w:r>
      <w:r>
        <w:rPr>
          <w:rFonts w:hint="eastAsia" w:ascii="宋体" w:hAnsi="宋体" w:cs="宋体"/>
          <w:bCs/>
          <w:sz w:val="24"/>
        </w:rPr>
        <w:t xml:space="preserve">在使用、接受本合同货物和服务或其任何一部分时不受第三方提出侵犯其专利权、版权、商标权和工业设计权等知识产权的起诉。一旦出现侵权，由</w:t>
      </w:r>
      <w:r>
        <w:rPr>
          <w:rFonts w:hint="eastAsia" w:ascii="宋体" w:hAnsi="宋体" w:cs="宋体"/>
          <w:bCs/>
          <w:sz w:val="24"/>
          <w:lang w:eastAsia="zh-CN"/>
        </w:rPr>
        <w:t xml:space="preserve">卖方</w:t>
      </w:r>
      <w:r>
        <w:rPr>
          <w:rFonts w:hint="eastAsia" w:ascii="宋体" w:hAnsi="宋体" w:cs="宋体"/>
          <w:bCs/>
          <w:sz w:val="24"/>
        </w:rPr>
        <w:t xml:space="preserve">负全部责任。</w:t>
      </w:r>
      <w:r>
        <w:rPr>
          <w:rFonts w:hint="eastAsia" w:ascii="宋体" w:hAnsi="宋体" w:cs="宋体"/>
          <w:bCs/>
          <w:sz w:val="24"/>
        </w:rPr>
      </w:r>
      <w:r/>
    </w:p>
    <w:p>
      <w:pPr>
        <w:pStyle w:val="663"/>
        <w:ind w:firstLine="482"/>
        <w:jc w:val="left"/>
        <w:keepLines w:val="0"/>
        <w:keepNext w:val="0"/>
        <w:pageBreakBefore w:val="0"/>
        <w:spacing w:line="400" w:lineRule="exact"/>
        <w:widowControl/>
        <w:tabs>
          <w:tab w:val="left" w:pos="567" w:leader="none"/>
        </w:tabs>
        <w:rPr>
          <w:rFonts w:hint="eastAsia" w:ascii="宋体" w:hAnsi="宋体" w:eastAsia="宋体" w:cs="宋体"/>
          <w:b/>
          <w:bCs/>
          <w:sz w:val="24"/>
          <w:lang w:eastAsia="zh-CN"/>
        </w:rPr>
      </w:pPr>
      <w:r>
        <w:rPr>
          <w:rFonts w:hint="eastAsia" w:ascii="宋体" w:hAnsi="宋体" w:eastAsia="宋体" w:cs="宋体"/>
          <w:b/>
          <w:bCs/>
          <w:sz w:val="24"/>
          <w:lang w:eastAsia="zh-CN"/>
        </w:rPr>
        <w:t xml:space="preserve">十</w:t>
      </w:r>
      <w:r>
        <w:rPr>
          <w:rFonts w:hint="eastAsia" w:ascii="宋体" w:hAnsi="宋体" w:eastAsia="宋体" w:cs="宋体"/>
          <w:b/>
          <w:bCs/>
          <w:sz w:val="24"/>
          <w:lang w:val="en-US" w:eastAsia="zh-CN"/>
        </w:rPr>
        <w:t xml:space="preserve">一</w:t>
      </w:r>
      <w:r>
        <w:rPr>
          <w:rFonts w:hint="eastAsia" w:ascii="宋体" w:hAnsi="宋体" w:eastAsia="宋体" w:cs="宋体"/>
          <w:b/>
          <w:bCs/>
          <w:sz w:val="24"/>
          <w:lang w:eastAsia="zh-CN"/>
        </w:rPr>
        <w:t xml:space="preserve">、安全责任</w:t>
      </w:r>
      <w:r>
        <w:rPr>
          <w:rFonts w:hint="eastAsia" w:ascii="宋体" w:hAnsi="宋体" w:eastAsia="宋体" w:cs="宋体"/>
          <w:b/>
          <w:bCs/>
          <w:sz w:val="24"/>
          <w:lang w:eastAsia="zh-CN"/>
        </w:rPr>
      </w:r>
      <w:r/>
    </w:p>
    <w:p>
      <w:pPr>
        <w:pStyle w:val="663"/>
        <w:ind w:firstLine="480"/>
        <w:jc w:val="left"/>
        <w:keepLines w:val="0"/>
        <w:keepNext w:val="0"/>
        <w:pageBreakBefore w:val="0"/>
        <w:spacing w:line="400" w:lineRule="exact"/>
        <w:widowControl/>
        <w:tabs>
          <w:tab w:val="left" w:pos="567" w:leader="none"/>
        </w:tabs>
        <w:rPr>
          <w:rFonts w:hint="eastAsia" w:ascii="宋体" w:hAnsi="宋体" w:eastAsia="宋体" w:cs="宋体"/>
          <w:bCs/>
          <w:sz w:val="24"/>
          <w:lang w:eastAsia="zh-CN"/>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必须</w:t>
      </w:r>
      <w:r>
        <w:rPr>
          <w:rFonts w:hint="eastAsia" w:ascii="宋体" w:hAnsi="宋体" w:eastAsia="宋体" w:cs="宋体"/>
          <w:bCs/>
          <w:sz w:val="24"/>
          <w:lang w:eastAsia="zh-CN"/>
        </w:rPr>
        <w:t xml:space="preserve">对进场的</w:t>
      </w:r>
      <w:r>
        <w:rPr>
          <w:rFonts w:hint="eastAsia" w:ascii="宋体" w:hAnsi="宋体" w:eastAsia="宋体" w:cs="宋体"/>
          <w:bCs/>
          <w:sz w:val="24"/>
        </w:rPr>
        <w:t xml:space="preserve">管理、</w:t>
      </w:r>
      <w:r>
        <w:rPr>
          <w:rFonts w:hint="eastAsia" w:ascii="宋体" w:hAnsi="宋体" w:eastAsia="宋体" w:cs="宋体"/>
          <w:bCs/>
          <w:sz w:val="24"/>
          <w:lang w:eastAsia="zh-CN"/>
        </w:rPr>
        <w:t xml:space="preserve">实施</w:t>
      </w:r>
      <w:r>
        <w:rPr>
          <w:rFonts w:hint="eastAsia" w:ascii="宋体" w:hAnsi="宋体" w:eastAsia="宋体" w:cs="宋体"/>
          <w:bCs/>
          <w:sz w:val="24"/>
        </w:rPr>
        <w:t xml:space="preserve">人员进行安全教育，介绍</w:t>
      </w:r>
      <w:r>
        <w:rPr>
          <w:rFonts w:hint="eastAsia" w:ascii="宋体" w:hAnsi="宋体" w:eastAsia="宋体" w:cs="宋体"/>
          <w:bCs/>
          <w:sz w:val="24"/>
          <w:lang w:eastAsia="zh-CN"/>
        </w:rPr>
        <w:t xml:space="preserve">买方相关的</w:t>
      </w:r>
      <w:r>
        <w:rPr>
          <w:rFonts w:hint="eastAsia" w:ascii="宋体" w:hAnsi="宋体" w:eastAsia="宋体" w:cs="宋体"/>
          <w:bCs/>
          <w:sz w:val="24"/>
        </w:rPr>
        <w:t xml:space="preserve">管理制度、规定和要求，</w:t>
      </w:r>
      <w:r>
        <w:rPr>
          <w:rFonts w:hint="eastAsia" w:ascii="宋体" w:hAnsi="宋体" w:eastAsia="宋体" w:cs="宋体"/>
          <w:bCs/>
          <w:sz w:val="24"/>
          <w:lang w:eastAsia="zh-CN"/>
        </w:rPr>
        <w:t xml:space="preserve">并</w:t>
      </w:r>
      <w:r>
        <w:rPr>
          <w:rFonts w:hint="eastAsia" w:ascii="宋体" w:hAnsi="宋体" w:eastAsia="宋体" w:cs="宋体"/>
          <w:bCs/>
          <w:sz w:val="24"/>
        </w:rPr>
        <w:t xml:space="preserve">检查、督促</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人员严格遵守、认真执行。</w:t>
      </w:r>
      <w:r>
        <w:rPr>
          <w:rFonts w:hint="eastAsia" w:ascii="宋体" w:hAnsi="宋体" w:eastAsia="宋体" w:cs="宋体"/>
          <w:bCs/>
          <w:sz w:val="24"/>
          <w:lang w:eastAsia="zh-CN"/>
        </w:rPr>
      </w:r>
      <w:r/>
    </w:p>
    <w:p>
      <w:pPr>
        <w:pStyle w:val="663"/>
        <w:ind w:firstLine="480"/>
        <w:jc w:val="left"/>
        <w:keepLines w:val="0"/>
        <w:keepNext w:val="0"/>
        <w:pageBreakBefore w:val="0"/>
        <w:spacing w:line="400" w:lineRule="exact"/>
        <w:widowControl/>
        <w:tabs>
          <w:tab w:val="left" w:pos="567" w:leader="none"/>
        </w:tabs>
        <w:rPr>
          <w:rFonts w:ascii="宋体" w:hAnsi="宋体"/>
          <w:szCs w:val="21"/>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前要认真</w:t>
      </w:r>
      <w:r>
        <w:rPr>
          <w:rFonts w:hint="eastAsia" w:ascii="宋体" w:hAnsi="宋体" w:eastAsia="宋体" w:cs="宋体"/>
          <w:bCs/>
          <w:sz w:val="24"/>
          <w:lang w:eastAsia="zh-CN"/>
        </w:rPr>
        <w:t xml:space="preserve">勘查现场</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卖方人员对不同安装区域、作业环境、操作设施设备、工具用具等必须认真检查，发现隐患立即停止，并由有关单位落实整改后方准继续进行。一经实施，就表示卖方确认项目实施场所、作业环境、设施设备、工具用具等符合安全要求和处于安全状态。</w:t>
      </w:r>
      <w:r>
        <w:rPr>
          <w:rFonts w:hint="eastAsia" w:ascii="宋体" w:hAnsi="宋体" w:eastAsia="宋体" w:cs="宋体"/>
          <w:bCs/>
          <w:sz w:val="24"/>
        </w:rPr>
        <w:t xml:space="preserve">进场后首先必须做好各类安全防护设施、安全标志和警告牌，防止闲杂人员进入现场，发生安全事故。</w:t>
      </w:r>
      <w:r>
        <w:rPr>
          <w:rFonts w:hint="eastAsia" w:ascii="宋体" w:hAnsi="宋体" w:eastAsia="宋体" w:cs="宋体"/>
          <w:bCs/>
          <w:sz w:val="24"/>
          <w:lang w:val="en-US" w:eastAsia="zh-CN"/>
        </w:rPr>
        <w:t xml:space="preserve">卖方对实施过程中由于上述因素不良而导致的事故后果负全部责任。</w:t>
      </w:r>
      <w:r>
        <w:rPr>
          <w:rFonts w:ascii="宋体" w:hAnsi="宋体"/>
          <w:szCs w:val="21"/>
        </w:rPr>
      </w:r>
      <w:r/>
    </w:p>
    <w:p>
      <w:pPr>
        <w:pStyle w:val="663"/>
        <w:ind w:firstLine="480"/>
        <w:jc w:val="left"/>
        <w:keepLines w:val="0"/>
        <w:keepNext w:val="0"/>
        <w:pageBreakBefore w:val="0"/>
        <w:spacing w:line="400" w:lineRule="exact"/>
        <w:widowControl/>
        <w:tabs>
          <w:tab w:val="left" w:pos="567" w:leader="none"/>
        </w:tabs>
        <w:rPr>
          <w:rFonts w:hint="eastAsia" w:ascii="宋体" w:hAnsi="宋体" w:eastAsia="宋体" w:cs="宋体"/>
          <w:bCs/>
          <w:sz w:val="24"/>
        </w:rPr>
      </w:pPr>
      <w:r>
        <w:rPr>
          <w:rFonts w:hint="eastAsia" w:ascii="宋体" w:hAnsi="宋体" w:eastAsia="宋体" w:cs="宋体"/>
          <w:bCs/>
          <w:sz w:val="24"/>
        </w:rPr>
        <w:t xml:space="preserve">贯彻谁</w:t>
      </w:r>
      <w:r>
        <w:rPr>
          <w:rFonts w:hint="eastAsia" w:ascii="宋体" w:hAnsi="宋体" w:eastAsia="宋体" w:cs="宋体"/>
          <w:bCs/>
          <w:sz w:val="24"/>
          <w:lang w:eastAsia="zh-CN"/>
        </w:rPr>
        <w:t xml:space="preserve">承接</w:t>
      </w:r>
      <w:r>
        <w:rPr>
          <w:rFonts w:hint="eastAsia" w:ascii="宋体" w:hAnsi="宋体" w:eastAsia="宋体" w:cs="宋体"/>
          <w:bCs/>
          <w:sz w:val="24"/>
        </w:rPr>
        <w:t xml:space="preserve">谁负责安全的原则。</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过程中发生的人身伤亡等一切事故，均由</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自己负责，与</w:t>
      </w:r>
      <w:r>
        <w:rPr>
          <w:rFonts w:hint="eastAsia" w:ascii="宋体" w:hAnsi="宋体" w:eastAsia="宋体" w:cs="宋体"/>
          <w:bCs/>
          <w:sz w:val="24"/>
          <w:lang w:eastAsia="zh-CN"/>
        </w:rPr>
        <w:t xml:space="preserve">买方</w:t>
      </w:r>
      <w:r>
        <w:rPr>
          <w:rFonts w:hint="eastAsia" w:ascii="宋体" w:hAnsi="宋体" w:eastAsia="宋体" w:cs="宋体"/>
          <w:bCs/>
          <w:sz w:val="24"/>
        </w:rPr>
        <w:t xml:space="preserve">无关。事故的损失和善后处理费用，由责任方承担。</w:t>
      </w:r>
      <w:r>
        <w:rPr>
          <w:rFonts w:hint="eastAsia" w:ascii="宋体" w:hAnsi="宋体" w:eastAsia="宋体" w:cs="宋体"/>
          <w:bCs/>
          <w:sz w:val="24"/>
        </w:rPr>
      </w:r>
      <w:r/>
    </w:p>
    <w:p>
      <w:pPr>
        <w:pStyle w:val="663"/>
        <w:ind w:firstLine="482"/>
        <w:jc w:val="left"/>
        <w:keepLines w:val="0"/>
        <w:keepNext w:val="0"/>
        <w:pageBreakBefore w:val="0"/>
        <w:spacing w:line="400" w:lineRule="exact"/>
        <w:widowControl/>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十二、买方应履行的职责</w:t>
      </w:r>
      <w:r>
        <w:rPr>
          <w:rFonts w:hint="eastAsia" w:ascii="宋体" w:hAnsi="宋体" w:eastAsia="宋体"/>
          <w:b/>
          <w:bCs/>
          <w:color w:val="000000"/>
          <w:sz w:val="24"/>
          <w:szCs w:val="24"/>
          <w:lang w:val="en-US" w:eastAsia="zh-CN"/>
        </w:rPr>
      </w:r>
      <w:r/>
    </w:p>
    <w:p>
      <w:pPr>
        <w:pStyle w:val="663"/>
        <w:ind w:firstLine="480"/>
        <w:jc w:val="left"/>
        <w:keepLines w:val="0"/>
        <w:keepNext w:val="0"/>
        <w:pageBreakBefore w:val="0"/>
        <w:spacing w:line="400" w:lineRule="exact"/>
        <w:tabs>
          <w:tab w:val="left" w:pos="180" w:leader="none"/>
        </w:tabs>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卖方将设备送到指定地点后，买方组织人员进行验货、验收。</w:t>
      </w:r>
      <w:r>
        <w:rPr>
          <w:rFonts w:hint="eastAsia" w:ascii="宋体" w:hAnsi="宋体" w:eastAsia="宋体"/>
          <w:b w:val="0"/>
          <w:bCs w:val="0"/>
          <w:color w:val="000000"/>
          <w:sz w:val="24"/>
          <w:szCs w:val="24"/>
          <w:lang w:val="en-US" w:eastAsia="zh-CN"/>
        </w:rPr>
      </w:r>
      <w:r/>
    </w:p>
    <w:p>
      <w:pPr>
        <w:pStyle w:val="663"/>
        <w:ind w:firstLine="482"/>
        <w:jc w:val="left"/>
        <w:keepLines w:val="0"/>
        <w:keepNext w:val="0"/>
        <w:pageBreakBefore w:val="0"/>
        <w:spacing w:line="400" w:lineRule="exact"/>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十三、验收</w:t>
      </w:r>
      <w:r>
        <w:rPr>
          <w:rFonts w:hint="eastAsia" w:ascii="宋体" w:hAnsi="宋体" w:eastAsia="宋体" w:cs="Times New Roman"/>
          <w:b/>
          <w:bCs/>
          <w:color w:val="000000"/>
          <w:sz w:val="24"/>
          <w:szCs w:val="24"/>
          <w:lang w:val="en-US" w:eastAsia="zh-CN"/>
        </w:rPr>
      </w:r>
      <w:r/>
    </w:p>
    <w:p>
      <w:pPr>
        <w:pStyle w:val="663"/>
        <w:ind w:firstLine="480"/>
        <w:jc w:val="left"/>
        <w:keepLines w:val="0"/>
        <w:keepNext w:val="0"/>
        <w:pageBreakBefore w:val="0"/>
        <w:spacing w:line="400" w:lineRule="exact"/>
        <w:tabs>
          <w:tab w:val="left" w:pos="180" w:leader="none"/>
        </w:tabs>
        <w:rPr>
          <w:rFonts w:hint="eastAsia"/>
          <w:lang w:eastAsia="zh-CN"/>
        </w:rPr>
      </w:pPr>
      <w:r>
        <w:rPr>
          <w:rFonts w:hint="eastAsia" w:ascii="宋体" w:hAnsi="宋体" w:eastAsia="宋体" w:cs="Times New Roman"/>
          <w:b w:val="0"/>
          <w:bCs w:val="0"/>
          <w:color w:val="000000"/>
          <w:sz w:val="24"/>
          <w:szCs w:val="24"/>
          <w:lang w:val="en-US" w:eastAsia="zh-CN"/>
        </w:rPr>
        <w:t xml:space="preserve">买方按磋商文件相关要求进行。如需委托第三方验收，验收费用由买方承担。因卖方交付的货物不符合标准导致买方重复支出的验收费用，由卖方承担。</w:t>
      </w:r>
      <w:r>
        <w:rPr>
          <w:rFonts w:hint="eastAsia"/>
          <w:lang w:eastAsia="zh-CN"/>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四</w:t>
      </w:r>
      <w:r>
        <w:rPr>
          <w:rFonts w:hint="eastAsia" w:ascii="宋体" w:hAnsi="宋体" w:cs="宋体"/>
          <w:b/>
          <w:bCs/>
          <w:sz w:val="24"/>
        </w:rPr>
        <w:t xml:space="preserve">、违约责任</w:t>
      </w:r>
      <w:r>
        <w:rPr>
          <w:rFonts w:hint="eastAsia" w:ascii="宋体" w:hAnsi="宋体" w:cs="宋体"/>
          <w:b/>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买方</w:t>
      </w:r>
      <w:r>
        <w:rPr>
          <w:rFonts w:hint="eastAsia" w:ascii="宋体" w:hAnsi="宋体" w:cs="宋体"/>
          <w:bCs/>
          <w:sz w:val="24"/>
        </w:rPr>
        <w:t xml:space="preserve">无正当理由拒收货物、拒付货物款的，由</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偿付合同总价的5%违约金。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买方</w:t>
      </w:r>
      <w:r>
        <w:rPr>
          <w:rFonts w:hint="eastAsia" w:ascii="宋体" w:hAnsi="宋体" w:cs="宋体"/>
          <w:bCs/>
          <w:sz w:val="24"/>
        </w:rPr>
        <w:t xml:space="preserve">未按合同规定的期限向</w:t>
      </w:r>
      <w:r>
        <w:rPr>
          <w:rFonts w:hint="eastAsia" w:ascii="宋体" w:hAnsi="宋体" w:cs="宋体"/>
          <w:bCs/>
          <w:sz w:val="24"/>
          <w:lang w:eastAsia="zh-CN"/>
        </w:rPr>
        <w:t xml:space="preserve">卖方</w:t>
      </w:r>
      <w:r>
        <w:rPr>
          <w:rFonts w:hint="eastAsia" w:ascii="宋体" w:hAnsi="宋体" w:cs="宋体"/>
          <w:bCs/>
          <w:sz w:val="24"/>
        </w:rPr>
        <w:t xml:space="preserve">支付货款的，每逾期1天</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偿付欠款总额的5‰滞纳金，但累计滞纳金总额不超过欠款总额的5%。</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3、如</w:t>
      </w:r>
      <w:r>
        <w:rPr>
          <w:rFonts w:hint="eastAsia" w:ascii="宋体" w:hAnsi="宋体" w:cs="宋体"/>
          <w:bCs/>
          <w:sz w:val="24"/>
          <w:lang w:eastAsia="zh-CN"/>
        </w:rPr>
        <w:t xml:space="preserve">卖方</w:t>
      </w:r>
      <w:r>
        <w:rPr>
          <w:rFonts w:hint="eastAsia" w:ascii="宋体" w:hAnsi="宋体" w:cs="宋体"/>
          <w:bCs/>
          <w:sz w:val="24"/>
        </w:rPr>
        <w:t xml:space="preserve">不能交付货物，</w:t>
      </w:r>
      <w:r>
        <w:rPr>
          <w:rFonts w:hint="eastAsia" w:ascii="宋体" w:hAnsi="宋体" w:cs="宋体"/>
          <w:bCs/>
          <w:sz w:val="24"/>
          <w:lang w:eastAsia="zh-CN"/>
        </w:rPr>
        <w:t xml:space="preserve">买方</w:t>
      </w:r>
      <w:r>
        <w:rPr>
          <w:rFonts w:hint="eastAsia" w:ascii="宋体" w:hAnsi="宋体" w:cs="宋体"/>
          <w:bCs/>
          <w:sz w:val="24"/>
        </w:rPr>
        <w:t xml:space="preserve">有权要求</w:t>
      </w:r>
      <w:r>
        <w:rPr>
          <w:rFonts w:hint="eastAsia" w:ascii="宋体" w:hAnsi="宋体" w:cs="宋体"/>
          <w:bCs/>
          <w:sz w:val="24"/>
          <w:lang w:eastAsia="zh-CN"/>
        </w:rPr>
        <w:t xml:space="preserve">卖方</w:t>
      </w:r>
      <w:r>
        <w:rPr>
          <w:rFonts w:hint="eastAsia" w:ascii="宋体" w:hAnsi="宋体" w:cs="宋体"/>
          <w:bCs/>
          <w:sz w:val="24"/>
        </w:rPr>
        <w:t xml:space="preserve">支付合同总价</w:t>
      </w:r>
      <w:r>
        <w:rPr>
          <w:rFonts w:hint="eastAsia" w:ascii="宋体" w:hAnsi="宋体" w:cs="宋体"/>
          <w:bCs/>
          <w:sz w:val="24"/>
          <w:lang w:val="en-US" w:eastAsia="zh-CN"/>
        </w:rPr>
        <w:t xml:space="preserve">5</w:t>
      </w:r>
      <w:r>
        <w:rPr>
          <w:rFonts w:hint="eastAsia" w:ascii="宋体" w:hAnsi="宋体" w:cs="宋体"/>
          <w:bCs/>
          <w:sz w:val="24"/>
        </w:rPr>
        <w:t xml:space="preserve">％的违约金。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卖方</w:t>
      </w:r>
      <w:r>
        <w:rPr>
          <w:rFonts w:hint="eastAsia" w:ascii="宋体" w:hAnsi="宋体" w:cs="宋体"/>
          <w:bCs/>
          <w:sz w:val="24"/>
        </w:rPr>
        <w:t xml:space="preserve">逾期交付货物的，每逾期1天，</w:t>
      </w:r>
      <w:r>
        <w:rPr>
          <w:rFonts w:hint="eastAsia" w:ascii="宋体" w:hAnsi="宋体" w:cs="宋体"/>
          <w:bCs/>
          <w:sz w:val="24"/>
          <w:lang w:eastAsia="zh-CN"/>
        </w:rPr>
        <w:t xml:space="preserve">卖方</w:t>
      </w:r>
      <w:r>
        <w:rPr>
          <w:rFonts w:hint="eastAsia" w:ascii="宋体" w:hAnsi="宋体" w:cs="宋体"/>
          <w:bCs/>
          <w:sz w:val="24"/>
        </w:rPr>
        <w:t xml:space="preserve">向</w:t>
      </w:r>
      <w:r>
        <w:rPr>
          <w:rFonts w:hint="eastAsia" w:ascii="宋体" w:hAnsi="宋体" w:cs="宋体"/>
          <w:bCs/>
          <w:sz w:val="24"/>
          <w:lang w:eastAsia="zh-CN"/>
        </w:rPr>
        <w:t xml:space="preserve">买方</w:t>
      </w:r>
      <w:r>
        <w:rPr>
          <w:rFonts w:hint="eastAsia" w:ascii="宋体" w:hAnsi="宋体" w:cs="宋体"/>
          <w:bCs/>
          <w:sz w:val="24"/>
        </w:rPr>
        <w:t xml:space="preserve">偿付逾期交货部分货款总额的5‰的滞纳金。如</w:t>
      </w:r>
      <w:r>
        <w:rPr>
          <w:rFonts w:hint="eastAsia" w:ascii="宋体" w:hAnsi="宋体" w:cs="宋体"/>
          <w:bCs/>
          <w:sz w:val="24"/>
          <w:lang w:eastAsia="zh-CN"/>
        </w:rPr>
        <w:t xml:space="preserve">卖方</w:t>
      </w:r>
      <w:r>
        <w:rPr>
          <w:rFonts w:hint="eastAsia" w:ascii="宋体" w:hAnsi="宋体" w:cs="宋体"/>
          <w:bCs/>
          <w:sz w:val="24"/>
        </w:rPr>
        <w:t xml:space="preserve">逾期交货达10天，</w:t>
      </w:r>
      <w:r>
        <w:rPr>
          <w:rFonts w:hint="eastAsia" w:ascii="宋体" w:hAnsi="宋体" w:cs="宋体"/>
          <w:bCs/>
          <w:sz w:val="24"/>
          <w:lang w:eastAsia="zh-CN"/>
        </w:rPr>
        <w:t xml:space="preserve">买方</w:t>
      </w:r>
      <w:r>
        <w:rPr>
          <w:rFonts w:hint="eastAsia" w:ascii="宋体" w:hAnsi="宋体" w:cs="宋体"/>
          <w:bCs/>
          <w:sz w:val="24"/>
        </w:rPr>
        <w:t xml:space="preserve">有权解除合同，解除合同的通知自到达</w:t>
      </w:r>
      <w:r>
        <w:rPr>
          <w:rFonts w:hint="eastAsia" w:ascii="宋体" w:hAnsi="宋体" w:cs="宋体"/>
          <w:bCs/>
          <w:sz w:val="24"/>
          <w:lang w:eastAsia="zh-CN"/>
        </w:rPr>
        <w:t xml:space="preserve">卖方</w:t>
      </w:r>
      <w:r>
        <w:rPr>
          <w:rFonts w:hint="eastAsia" w:ascii="宋体" w:hAnsi="宋体" w:cs="宋体"/>
          <w:bCs/>
          <w:sz w:val="24"/>
        </w:rPr>
        <w:t xml:space="preserve">时生效。</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eastAsia="zh-CN"/>
        </w:rPr>
        <w:t xml:space="preserve">卖方</w:t>
      </w:r>
      <w:r>
        <w:rPr>
          <w:rFonts w:hint="eastAsia" w:ascii="宋体" w:hAnsi="宋体" w:cs="宋体"/>
          <w:bCs/>
          <w:sz w:val="24"/>
        </w:rPr>
        <w:t xml:space="preserve">所交付的货物品种、型号、规格不符合合同规定的，</w:t>
      </w:r>
      <w:r>
        <w:rPr>
          <w:rFonts w:hint="eastAsia" w:ascii="宋体" w:hAnsi="宋体" w:cs="宋体"/>
          <w:bCs/>
          <w:sz w:val="24"/>
          <w:lang w:eastAsia="zh-CN"/>
        </w:rPr>
        <w:t xml:space="preserve">买方</w:t>
      </w:r>
      <w:r>
        <w:rPr>
          <w:rFonts w:hint="eastAsia" w:ascii="宋体" w:hAnsi="宋体" w:cs="宋体"/>
          <w:bCs/>
          <w:sz w:val="24"/>
        </w:rPr>
        <w:t xml:space="preserve">有权拒收。</w:t>
      </w:r>
      <w:r>
        <w:rPr>
          <w:rFonts w:hint="eastAsia" w:ascii="宋体" w:hAnsi="宋体" w:cs="宋体"/>
          <w:bCs/>
          <w:sz w:val="24"/>
          <w:lang w:eastAsia="zh-CN"/>
        </w:rPr>
        <w:t xml:space="preserve">买方</w:t>
      </w:r>
      <w:r>
        <w:rPr>
          <w:rFonts w:hint="eastAsia" w:ascii="宋体" w:hAnsi="宋体" w:cs="宋体"/>
          <w:bCs/>
          <w:sz w:val="24"/>
        </w:rPr>
        <w:t xml:space="preserve">拒收的，</w:t>
      </w:r>
      <w:r>
        <w:rPr>
          <w:rFonts w:hint="eastAsia" w:ascii="宋体" w:hAnsi="宋体" w:cs="宋体"/>
          <w:bCs/>
          <w:sz w:val="24"/>
          <w:lang w:eastAsia="zh-CN"/>
        </w:rPr>
        <w:t xml:space="preserve">卖方</w:t>
      </w:r>
      <w:r>
        <w:rPr>
          <w:rFonts w:hint="eastAsia" w:ascii="宋体" w:hAnsi="宋体" w:cs="宋体"/>
          <w:bCs/>
          <w:sz w:val="24"/>
        </w:rPr>
        <w:t xml:space="preserve">应向</w:t>
      </w:r>
      <w:r>
        <w:rPr>
          <w:rFonts w:hint="eastAsia" w:ascii="宋体" w:hAnsi="宋体" w:cs="宋体"/>
          <w:bCs/>
          <w:sz w:val="24"/>
          <w:lang w:eastAsia="zh-CN"/>
        </w:rPr>
        <w:t xml:space="preserve">买方</w:t>
      </w:r>
      <w:r>
        <w:rPr>
          <w:rFonts w:hint="eastAsia" w:ascii="宋体" w:hAnsi="宋体" w:cs="宋体"/>
          <w:bCs/>
          <w:sz w:val="24"/>
        </w:rPr>
        <w:t xml:space="preserve">支付货款总额5%的违约金。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6、在</w:t>
      </w:r>
      <w:r>
        <w:rPr>
          <w:rFonts w:hint="eastAsia" w:ascii="宋体" w:hAnsi="宋体" w:cs="宋体"/>
          <w:bCs/>
          <w:sz w:val="24"/>
          <w:lang w:eastAsia="zh-CN"/>
        </w:rPr>
        <w:t xml:space="preserve">卖方</w:t>
      </w:r>
      <w:r>
        <w:rPr>
          <w:rFonts w:hint="eastAsia" w:ascii="宋体" w:hAnsi="宋体" w:cs="宋体"/>
          <w:bCs/>
          <w:sz w:val="24"/>
        </w:rPr>
        <w:t xml:space="preserve">承诺的或国家规定的质量保证期内（取两者中最长的期限），如经</w:t>
      </w:r>
      <w:r>
        <w:rPr>
          <w:rFonts w:hint="eastAsia" w:ascii="宋体" w:hAnsi="宋体" w:cs="宋体"/>
          <w:bCs/>
          <w:sz w:val="24"/>
          <w:lang w:eastAsia="zh-CN"/>
        </w:rPr>
        <w:t xml:space="preserve">卖方</w:t>
      </w:r>
      <w:r>
        <w:rPr>
          <w:rFonts w:hint="eastAsia" w:ascii="宋体" w:hAnsi="宋体" w:cs="宋体"/>
          <w:bCs/>
          <w:sz w:val="24"/>
        </w:rPr>
        <w:t xml:space="preserve">两次维修或更换，货物仍不能达到合同约定的质量标准，</w:t>
      </w:r>
      <w:r>
        <w:rPr>
          <w:rFonts w:hint="eastAsia" w:ascii="宋体" w:hAnsi="宋体" w:cs="宋体"/>
          <w:bCs/>
          <w:sz w:val="24"/>
          <w:lang w:eastAsia="zh-CN"/>
        </w:rPr>
        <w:t xml:space="preserve">买方</w:t>
      </w:r>
      <w:r>
        <w:rPr>
          <w:rFonts w:hint="eastAsia" w:ascii="宋体" w:hAnsi="宋体" w:cs="宋体"/>
          <w:bCs/>
          <w:sz w:val="24"/>
        </w:rPr>
        <w:t xml:space="preserve">有权退货，</w:t>
      </w:r>
      <w:r>
        <w:rPr>
          <w:rFonts w:hint="eastAsia" w:ascii="宋体" w:hAnsi="宋体" w:cs="宋体"/>
          <w:bCs/>
          <w:sz w:val="24"/>
          <w:lang w:eastAsia="zh-CN"/>
        </w:rPr>
        <w:t xml:space="preserve">卖方</w:t>
      </w:r>
      <w:r>
        <w:rPr>
          <w:rFonts w:hint="eastAsia" w:ascii="宋体" w:hAnsi="宋体" w:cs="宋体"/>
          <w:bCs/>
          <w:sz w:val="24"/>
        </w:rPr>
        <w:t xml:space="preserve">应退回全部货款，并按第3款处理，同时，</w:t>
      </w:r>
      <w:r>
        <w:rPr>
          <w:rFonts w:hint="eastAsia" w:ascii="宋体" w:hAnsi="宋体" w:cs="宋体"/>
          <w:bCs/>
          <w:sz w:val="24"/>
          <w:lang w:eastAsia="zh-CN"/>
        </w:rPr>
        <w:t xml:space="preserve">卖方</w:t>
      </w:r>
      <w:r>
        <w:rPr>
          <w:rFonts w:hint="eastAsia" w:ascii="宋体" w:hAnsi="宋体" w:cs="宋体"/>
          <w:bCs/>
          <w:sz w:val="24"/>
        </w:rPr>
        <w:t xml:space="preserve">还须赔偿</w:t>
      </w:r>
      <w:r>
        <w:rPr>
          <w:rFonts w:hint="eastAsia" w:ascii="宋体" w:hAnsi="宋体" w:cs="宋体"/>
          <w:bCs/>
          <w:sz w:val="24"/>
          <w:lang w:eastAsia="zh-CN"/>
        </w:rPr>
        <w:t xml:space="preserve">买方</w:t>
      </w:r>
      <w:r>
        <w:rPr>
          <w:rFonts w:hint="eastAsia" w:ascii="宋体" w:hAnsi="宋体" w:cs="宋体"/>
          <w:bCs/>
          <w:sz w:val="24"/>
        </w:rPr>
        <w:t xml:space="preserve">因此遭受的损失。</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eastAsia="zh-CN"/>
        </w:rPr>
        <w:t xml:space="preserve">卖方</w:t>
      </w:r>
      <w:r>
        <w:rPr>
          <w:rFonts w:hint="eastAsia" w:ascii="宋体" w:hAnsi="宋体" w:cs="宋体"/>
          <w:bCs/>
          <w:sz w:val="24"/>
        </w:rPr>
        <w:t xml:space="preserve">未按本合同的规定和服务承诺提供货物的，应按合同总价款的3%向</w:t>
      </w:r>
      <w:r>
        <w:rPr>
          <w:rFonts w:hint="eastAsia" w:ascii="宋体" w:hAnsi="宋体" w:cs="宋体"/>
          <w:bCs/>
          <w:sz w:val="24"/>
          <w:lang w:eastAsia="zh-CN"/>
        </w:rPr>
        <w:t xml:space="preserve">买方</w:t>
      </w:r>
      <w:r>
        <w:rPr>
          <w:rFonts w:hint="eastAsia" w:ascii="宋体" w:hAnsi="宋体" w:cs="宋体"/>
          <w:bCs/>
          <w:sz w:val="24"/>
        </w:rPr>
        <w:t xml:space="preserve">承担违约责任。</w:t>
      </w:r>
      <w:r>
        <w:rPr>
          <w:rFonts w:hint="eastAsia" w:ascii="宋体" w:hAnsi="宋体" w:cs="宋体"/>
          <w:bCs/>
          <w:sz w:val="24"/>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val="en-US" w:eastAsia="zh-CN"/>
        </w:rPr>
        <w:t xml:space="preserve">五</w:t>
      </w:r>
      <w:r>
        <w:rPr>
          <w:rFonts w:hint="eastAsia" w:ascii="宋体" w:hAnsi="宋体" w:cs="宋体"/>
          <w:b/>
          <w:bCs/>
          <w:sz w:val="24"/>
        </w:rPr>
        <w:t xml:space="preserve">、争议的解决及合同纠纷处理</w:t>
      </w:r>
      <w:r>
        <w:rPr>
          <w:rFonts w:hint="eastAsia" w:ascii="宋体" w:hAnsi="宋体" w:cs="宋体"/>
          <w:b/>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1、争议的解决：因货物的质量问题发生争议的，应当邀请国家认可的质量检测机构对货物质量进行鉴定。货物符合标准的，鉴定费由</w:t>
      </w:r>
      <w:r>
        <w:rPr>
          <w:rFonts w:hint="eastAsia" w:ascii="宋体" w:hAnsi="宋体" w:cs="宋体"/>
          <w:bCs/>
          <w:sz w:val="24"/>
          <w:lang w:eastAsia="zh-CN"/>
        </w:rPr>
        <w:t xml:space="preserve">买方</w:t>
      </w:r>
      <w:r>
        <w:rPr>
          <w:rFonts w:hint="eastAsia" w:ascii="宋体" w:hAnsi="宋体" w:cs="宋体"/>
          <w:bCs/>
          <w:sz w:val="24"/>
        </w:rPr>
        <w:t xml:space="preserve">承担；货物不符合质量标准的，鉴定费由</w:t>
      </w:r>
      <w:r>
        <w:rPr>
          <w:rFonts w:hint="eastAsia" w:ascii="宋体" w:hAnsi="宋体" w:cs="宋体"/>
          <w:bCs/>
          <w:sz w:val="24"/>
          <w:lang w:eastAsia="zh-CN"/>
        </w:rPr>
        <w:t xml:space="preserve">卖方</w:t>
      </w:r>
      <w:r>
        <w:rPr>
          <w:rFonts w:hint="eastAsia" w:ascii="宋体" w:hAnsi="宋体" w:cs="宋体"/>
          <w:bCs/>
          <w:sz w:val="24"/>
        </w:rPr>
        <w:t xml:space="preserve">承担、并更换有问题商品或部件。</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rPr>
      </w:pPr>
      <w:r>
        <w:rPr>
          <w:rFonts w:hint="eastAsia" w:ascii="宋体" w:hAnsi="宋体" w:cs="宋体"/>
          <w:bCs/>
          <w:sz w:val="24"/>
        </w:rPr>
        <w:t xml:space="preserve">2、合同纠纷处理：本合同执行过程中发生纠纷，由</w:t>
      </w:r>
      <w:r>
        <w:rPr>
          <w:rFonts w:hint="eastAsia" w:ascii="宋体" w:hAnsi="宋体" w:cs="宋体"/>
          <w:bCs/>
          <w:sz w:val="24"/>
          <w:lang w:eastAsia="zh-CN"/>
        </w:rPr>
        <w:t xml:space="preserve">买方</w:t>
      </w:r>
      <w:r>
        <w:rPr>
          <w:rFonts w:hint="eastAsia" w:ascii="宋体" w:hAnsi="宋体" w:cs="宋体"/>
          <w:bCs/>
          <w:sz w:val="24"/>
        </w:rPr>
        <w:t xml:space="preserve">和</w:t>
      </w:r>
      <w:r>
        <w:rPr>
          <w:rFonts w:hint="eastAsia" w:ascii="宋体" w:hAnsi="宋体" w:cs="宋体"/>
          <w:bCs/>
          <w:sz w:val="24"/>
          <w:lang w:eastAsia="zh-CN"/>
        </w:rPr>
        <w:t xml:space="preserve">卖方</w:t>
      </w:r>
      <w:r>
        <w:rPr>
          <w:rFonts w:hint="eastAsia" w:ascii="宋体" w:hAnsi="宋体" w:cs="宋体"/>
          <w:bCs/>
          <w:sz w:val="24"/>
        </w:rPr>
        <w:t xml:space="preserve">协商处理，协商不成，可向</w:t>
      </w:r>
      <w:r>
        <w:rPr>
          <w:rFonts w:hint="eastAsia" w:ascii="宋体" w:hAnsi="宋体" w:cs="宋体"/>
          <w:bCs/>
          <w:sz w:val="24"/>
          <w:lang w:eastAsia="zh-CN"/>
        </w:rPr>
        <w:t xml:space="preserve">买方</w:t>
      </w:r>
      <w:r>
        <w:rPr>
          <w:rFonts w:hint="eastAsia" w:ascii="宋体" w:hAnsi="宋体" w:cs="宋体"/>
          <w:bCs/>
          <w:sz w:val="24"/>
        </w:rPr>
        <w:t xml:space="preserve">所在地有管辖权的人民法院提起诉讼；</w:t>
      </w:r>
      <w:r>
        <w:rPr>
          <w:rFonts w:hint="eastAsia"/>
        </w:rPr>
      </w:r>
      <w:r/>
    </w:p>
    <w:p>
      <w:pPr>
        <w:pStyle w:val="663"/>
        <w:ind w:firstLine="482"/>
        <w:jc w:val="left"/>
        <w:keepLines w:val="0"/>
        <w:keepNext w:val="0"/>
        <w:pageBreakBefore w:val="0"/>
        <w:spacing w:line="400" w:lineRule="exact"/>
        <w:widowControl/>
        <w:rPr>
          <w:rFonts w:hint="eastAsia" w:ascii="宋体" w:hAnsi="宋体" w:cs="宋体"/>
          <w:bCs/>
          <w:sz w:val="24"/>
        </w:rPr>
      </w:pPr>
      <w:r>
        <w:rPr>
          <w:rFonts w:hint="eastAsia" w:ascii="宋体" w:hAnsi="宋体" w:cs="宋体"/>
          <w:b/>
          <w:sz w:val="24"/>
        </w:rPr>
        <w:t xml:space="preserve">十</w:t>
      </w:r>
      <w:r>
        <w:rPr>
          <w:rFonts w:hint="eastAsia" w:ascii="宋体" w:hAnsi="宋体" w:cs="宋体"/>
          <w:b/>
          <w:sz w:val="24"/>
          <w:lang w:val="en-US" w:eastAsia="zh-CN"/>
        </w:rPr>
        <w:t xml:space="preserve">六</w:t>
      </w:r>
      <w:r>
        <w:rPr>
          <w:rFonts w:hint="eastAsia" w:ascii="宋体" w:hAnsi="宋体" w:cs="宋体"/>
          <w:b/>
          <w:sz w:val="24"/>
        </w:rPr>
        <w:t xml:space="preserve">、合同生效：</w:t>
      </w:r>
      <w:r>
        <w:rPr>
          <w:rFonts w:hint="eastAsia" w:ascii="宋体" w:hAnsi="宋体" w:cs="宋体"/>
          <w:bCs/>
          <w:sz w:val="24"/>
        </w:rPr>
        <w:t xml:space="preserve">本合同由甲乙双方签字盖章后生效。</w:t>
      </w:r>
      <w:r>
        <w:rPr>
          <w:rFonts w:hint="eastAsia" w:ascii="宋体" w:hAnsi="宋体" w:cs="宋体"/>
          <w:bCs/>
          <w:sz w:val="24"/>
        </w:rPr>
      </w:r>
      <w:r/>
    </w:p>
    <w:p>
      <w:pPr>
        <w:pStyle w:val="663"/>
        <w:ind w:firstLine="480"/>
        <w:jc w:val="left"/>
        <w:keepLines w:val="0"/>
        <w:keepNext w:val="0"/>
        <w:spacing w:line="540" w:lineRule="exact"/>
        <w:widowControl w:val="off"/>
        <w:rPr>
          <w:rFonts w:hint="eastAsia" w:ascii="宋体" w:hAnsi="宋体" w:eastAsia="宋体" w:cs="宋体"/>
          <w:sz w:val="24"/>
        </w:rPr>
        <w:outlineLvl w:val="9"/>
      </w:pP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采 购 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供 应 商：</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单位盖章：          </w:t>
      </w:r>
      <w:r>
        <w:rPr>
          <w:rFonts w:hint="eastAsia" w:ascii="宋体" w:hAnsi="宋体" w:eastAsia="宋体" w:cs="宋体"/>
          <w:sz w:val="24"/>
          <w:lang w:val="en-US" w:eastAsia="zh-CN"/>
        </w:rPr>
        <w:t xml:space="preserve">  </w:t>
      </w:r>
      <w:r>
        <w:rPr>
          <w:rFonts w:hint="eastAsia" w:ascii="宋体" w:hAnsi="宋体" w:eastAsia="宋体" w:cs="宋体"/>
          <w:sz w:val="24"/>
        </w:rPr>
        <w:t xml:space="preserve">             单位盖章：</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代表签字：           </w:t>
      </w:r>
      <w:r>
        <w:rPr>
          <w:rFonts w:hint="eastAsia" w:ascii="宋体" w:hAnsi="宋体" w:eastAsia="宋体" w:cs="宋体"/>
          <w:sz w:val="24"/>
          <w:lang w:val="en-US" w:eastAsia="zh-CN"/>
        </w:rPr>
        <w:t xml:space="preserve">  </w:t>
      </w:r>
      <w:r>
        <w:rPr>
          <w:rFonts w:hint="eastAsia" w:ascii="宋体" w:hAnsi="宋体" w:eastAsia="宋体" w:cs="宋体"/>
          <w:sz w:val="24"/>
        </w:rPr>
        <w:t xml:space="preserve">            代表签字：</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签订日期：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             签订日期：</w:t>
      </w:r>
      <w:r>
        <w:rPr>
          <w:rFonts w:hint="eastAsia" w:ascii="宋体" w:hAnsi="宋体" w:eastAsia="宋体" w:cs="宋体"/>
          <w:sz w:val="24"/>
        </w:rPr>
      </w:r>
      <w:r/>
    </w:p>
    <w:p>
      <w:pPr>
        <w:pStyle w:val="663"/>
        <w:numPr>
          <w:ilvl w:val="0"/>
          <w:numId w:val="0"/>
        </w:numPr>
        <w:jc w:val="center"/>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663"/>
        <w:numPr>
          <w:ilvl w:val="0"/>
          <w:numId w:val="0"/>
        </w:numPr>
        <w:jc w:val="both"/>
        <w:keepLines w:val="0"/>
        <w:keepNext w:val="0"/>
        <w:pageBreakBefore w:val="0"/>
        <w:spacing w:line="500" w:lineRule="exact"/>
        <w:widowControl w:val="off"/>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pStyle w:val="663"/>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671"/>
        <w:ind w:left="0" w:firstLine="0"/>
        <w:rPr>
          <w:rFonts w:hint="eastAsia" w:ascii="宋体" w:hAnsi="宋体" w:eastAsia="宋体" w:cs="宋体"/>
          <w:lang w:eastAsia="zh-CN"/>
        </w:rPr>
      </w:pPr>
      <w:r>
        <w:rPr>
          <w:rFonts w:hint="eastAsia" w:ascii="宋体" w:hAnsi="宋体" w:eastAsia="宋体" w:cs="宋体"/>
          <w:lang w:eastAsia="zh-CN"/>
        </w:rPr>
      </w:r>
      <w:r/>
    </w:p>
    <w:p>
      <w:pPr>
        <w:pStyle w:val="680"/>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3" w:name="_Toc23561"/>
      <w:r>
        <w:rPr>
          <w:rFonts w:hint="eastAsia" w:ascii="宋体" w:hAnsi="宋体" w:eastAsia="宋体" w:cs="宋体"/>
          <w:b/>
          <w:bCs/>
          <w:sz w:val="32"/>
          <w:szCs w:val="32"/>
          <w:highlight w:val="none"/>
        </w:rPr>
        <w:t xml:space="preserve">第五章  项目采购需求及总体要求</w:t>
      </w:r>
      <w:bookmarkEnd w:id="33"/>
      <w:r>
        <w:rPr>
          <w:rFonts w:hint="eastAsia" w:ascii="宋体" w:hAnsi="宋体" w:eastAsia="宋体" w:cs="宋体"/>
          <w:b/>
          <w:bCs/>
          <w:sz w:val="30"/>
          <w:szCs w:val="30"/>
          <w:highlight w:val="none"/>
          <w:lang w:val="zh-CN"/>
        </w:rPr>
      </w:r>
      <w:r/>
    </w:p>
    <w:p>
      <w:pPr>
        <w:pStyle w:val="663"/>
        <w:numPr>
          <w:ilvl w:val="0"/>
          <w:numId w:val="2"/>
        </w:numPr>
        <w:jc w:val="left"/>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主设备技术参数</w:t>
      </w:r>
      <w:r>
        <w:rPr>
          <w:rFonts w:ascii="宋体" w:hAnsi="宋体" w:eastAsia="宋体" w:cs="宋体"/>
          <w:b/>
          <w:bCs/>
          <w:sz w:val="24"/>
          <w:szCs w:val="24"/>
          <w:lang w:val="en-US" w:eastAsia="zh-CN"/>
        </w:rPr>
      </w:r>
      <w:r/>
    </w:p>
    <w:p>
      <w:pPr>
        <w:pStyle w:val="663"/>
        <w:keepLines w:val="0"/>
        <w:keepNext w:val="0"/>
        <w:pageBreakBefore w:val="0"/>
        <w:spacing w:before="157" w:after="157" w:line="360" w:lineRule="exact"/>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采购包1</w:t>
      </w:r>
      <w:r>
        <w:rPr>
          <w:rFonts w:ascii="宋体" w:hAnsi="宋体" w:eastAsia="宋体" w:cs="宋体"/>
          <w:b/>
          <w:bCs/>
          <w:sz w:val="28"/>
          <w:szCs w:val="28"/>
          <w:lang w:val="en-US" w:eastAsia="zh-CN"/>
        </w:rPr>
      </w:r>
      <w:r/>
    </w:p>
    <w:tbl>
      <w:tblPr>
        <w:tblStyle w:val="694"/>
        <w:tblW w:w="99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7"/>
        <w:gridCol w:w="5826"/>
        <w:gridCol w:w="749"/>
        <w:gridCol w:w="813"/>
        <w:gridCol w:w="720"/>
      </w:tblGrid>
      <w:tr>
        <w:trPr>
          <w:trHeight w:val="587"/>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器材名称</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主要技术要求</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消防头盔（半盔）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1.符合XF44-2015《消防头盔》标准要求。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2.为半盔式头盔，由帽壳、佩戴装置及附件（面罩、披肩）等构成，浅色透明面罩，粘贴最新式帽徽，颜色：黄色、红色。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▲3.冲击吸收性能：高温预处理，最大冲击力≤3100N；辐射热预处理，最大冲击力≤3100N；低温预处理，最大冲击力≤3300N；浸水预处理，最大冲击力≤3000N。</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4.质量≤1.1kg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1.符合XF10-2014《消防员灭火防护服》标准要求。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▲2.整体服装采用三层式结构</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3.服装款式设计要求：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（1）上下分体式结构，整体协调，穿着舒适。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（2）肩、肘、膝部应采用耐磨层加厚处理，耐磨层应柔软且易于清洗。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（3）左臂上端外侧增加10cm*5cm魔术贴并覆盖布。上衣门襟魔术贴为贯通式。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（4）上衣左胸设置电台口袋，且不应与空气呼吸器背带相干涉；设置内插袋，下摆设置外贴袋；舒适层下摆增加5cm高度的对位芳纶基布涂层阻燃氯丁橡胶布制作的防水层。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（5）上衣和裤子之间的重叠部分应不小于200mm。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（6）上衣的衣领高度应不小于100mm，并有搭接或扣牢配件。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（7）裤子裆部采用一体式设计，配 H 型背带，脚口处采用圆弧形设计，脚口使用对位芳纶基布涂层阻燃氯丁橡胶布做防水处理。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（8）所有外口袋均设置漏水孔。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（9）防护服标识均采用最新标识。                                                                                             </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消防手套</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1.符合XF7-2004《消防手套》标准要求。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▲2.手套整体热防护性能：TPP≥29.5 cal/cm2。</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消防员灭火防护靴</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6-2004《消防员灭火防护靴》标准要求。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靴帮由外到内分为帮面、防切割层和隔热舒适层三层结构，靴底由上到下分为隔热舒适层、防穿刺层和靴大底三层结构，靴头部位设有保护包头，保护包头采用轻质航空铝材料制成，轻便、防砸，能够对消防员足前部进行有效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3.质量≤1.9kg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头灯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30734-2014《消防员照明灯具》标准要求。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▲2.外壳防护等级≥IP66，潜水深度≥5米，可持续时间≥1小时。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3.防爆标志≥EX ib IIC T4。</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应急逃生自救安全绳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3"/>
              </w:numPr>
              <w:ind w:left="0" w:firstLine="0"/>
              <w:jc w:val="both"/>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质量≤1800g。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3"/>
              </w:numPr>
              <w:ind w:left="0" w:firstLine="0"/>
              <w:jc w:val="both"/>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每根长度≥16米</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3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消防腰斧</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630-2023《消防腰斧》标准要求。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（提供合格的型式检验报告）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1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消防安全腰带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w:t>
            </w:r>
            <w:r>
              <w:rPr>
                <w:rFonts w:hint="eastAsia" w:ascii="宋体" w:hAnsi="宋体" w:eastAsia="宋体" w:cs="宋体"/>
                <w:i w:val="0"/>
                <w:iCs w:val="0"/>
                <w:color w:val="000000"/>
                <w:sz w:val="22"/>
                <w:szCs w:val="22"/>
                <w:highlight w:val="none"/>
                <w:u w:val="none"/>
                <w:lang w:val="en-US" w:eastAsia="zh-CN" w:bidi="ar"/>
              </w:rPr>
              <w:t xml:space="preserve">XF 494-2023</w:t>
            </w:r>
            <w:r>
              <w:rPr>
                <w:rFonts w:hint="eastAsia" w:ascii="宋体" w:hAnsi="宋体" w:eastAsia="宋体" w:cs="宋体"/>
                <w:i w:val="0"/>
                <w:iCs w:val="0"/>
                <w:color w:val="000000"/>
                <w:sz w:val="22"/>
                <w:szCs w:val="22"/>
                <w:highlight w:val="none"/>
                <w:u w:val="none"/>
                <w:lang w:val="en-US" w:eastAsia="zh-CN" w:bidi="ar"/>
              </w:rPr>
              <w:t xml:space="preserve">《消防用防坠落装备》标准要求。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2.由织带、环扣、2个D型环、双排插杆外带扣、带双排插孔的带尾等组成。</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消防员灭火防护头套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869-2010《消防员灭火防护头套》标准要求。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消防员抢险救援头盔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4"/>
              </w:numPr>
              <w:jc w:val="left"/>
              <w:keepLines w:val="0"/>
              <w:keepNext w:val="0"/>
              <w:pageBreakBefore w:val="0"/>
              <w:spacing w:line="360" w:lineRule="exact"/>
              <w:widowControl/>
              <w:tabs>
                <w:tab w:val="left" w:pos="312" w:leader="none"/>
              </w:tabs>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▲2.防护性能，冲击吸收性能：高温预处理，最大冲击力≤2330N；低温预处理，最大冲击力≤2480N；浸水预处理，最大冲击力≤2700N。</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3.质量（不含附件）≤0.8kg</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消防员抢险救援防护服（夏季）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13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消防员抢险救援防护服（冬季）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消防员抢险救援靴</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2.质量≤1.3kg。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消防护目镜</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★符合XF1273-2015《消防员护目镜》标准要求。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消防员护膝护肘</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1.耐摩擦性能≥2000次。</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2.抗冲击性能：≥护肘1219N，≥护膝1106N。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3.护膝耐穿刺性能≥340N；护肘耐穿刺性能≥320N。</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消防过滤式自救呼吸器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★符合GB 21976.7-2012《过滤式消防自救呼吸器》标准要求。</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消防员隔热防护服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1.符合XF634-2015《消防员隔热防护服》标准。</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2.火焰和辐射热防护性能（TPP）≥34.5cal/c㎡。</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消防员避火防护服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符合XF634-2015《消防员隔热防护服》标准。</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化学防护手套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1.化学防护性能：30%氢氧化钠、乙腈、甲醇等耐压穿透性＞35kPa；96%硫酸，30%氢氧化钠等化学品渗透时间＞480min。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2.耐热老化性能：经过125℃预处理24h后，表面不粘、不脆、不龟裂。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3.耐寒性能：经过-25℃预处理 5min，折叠 180°后，无表面破坏性裂痕。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4.手套抗刺穿力≥45N。</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消防员降温背心</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1.利用水分蒸发吸热带走身体表面热量达到降温效果，无需冰袋，无需冰箱冷冻，无需电源。</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2.降温背心不含甲醛，不含可分解致癌芳香胺染料。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3.将马甲浸泡在清水中3-5分钟，拧干后擦掉内层多余水分即可穿用。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4.单次降温时间≥2小时，可重复使用。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5.质量≤0.7kg。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消防全身式安全吊带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 494-2023《消防用防坠落装备》标准。</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消防员防蜂服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 3008-2020《消防员防蜂服》标准。</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消防轻型安全绳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★1.符合国家XF 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2.直径9.5mm，长度不小于20米。</w:t>
            </w:r>
            <w:r>
              <w:rPr>
                <w:rFonts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消防通用安全绳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★1.符合国家XF 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2.直径16mm，长度不小于50米。</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消防防坠落辅助部件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整套包含：全身安全带1件，O型钩4个，胸式上升器1个，手式上升器（左右手可选）1个，脚踏带1个，脚式上升器（左右脚可选）1个，手控下降器1个，8字环1个，双滑轮1个，单滑轮1个，手套1双，防坠器1个，缓冲包1个，环形扁带2个，10.5mm静力绳1根30米，护绳套1个，装备包1个，共21件。</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2.主要参数：</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（1）全身安全带：全身共有5 个加强D形承重挂点，承重≥22KN。设置可调节腰带，腿环，腰围≤115cm，腿围≤81cm，适应身高165-185cm，重量约1800g。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（2）O型钩：材质铝合金，二段自动式锁，开口尺寸20mm，拉力≥25kN，重量≤81g。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（3）胸式上升器：适用绳径8-13mm。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（4）手式上升器（左右手可选）：材质铝合金+橡胶，适用绳径8-13mm。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（5）脚踏带：材质尼龙织带+不锈钢，可调：80-115cm。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（6）脚式上升器（左右脚可选）：材质铝合金，适合绳索直径8-13mm，重量：≤148g，工作负荷：≥4KN。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（7）手控下降器：适合绳索直径9-12mm。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（8）8字环：材质铝合金，拉力≥35kN，破断强度≥45kN。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（9）单滑轮：材质铝合金，适合绳索直径≤13mm。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（10）双滑轮：材质铝合金，适合绳索直径8-13mm；拉力≥25KN。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（11）环形扁带：尼龙材质，长度60cm和120cm各1条；拉力≥23KN。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（12）10.5mm静力绳：绳长30米，安全绳最小破断强度≥25kN。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（13）护绳套：800D材质PVC夹网布制作，长度50cm，展开宽度14cm，保护绳索防止其磨损。</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（14）全身安全带、O型钩、胸式上升器、手式上升器、脚踏带、脚式上升器、手控下降器、8字环、单滑轮、双滑轮、防坠器、10.5mm静力绳、符合 XF494-2004/2023《消防员防坠落装备》标准。</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（15）缓冲包符合GB/T24538-2009《坠落防护 缓冲器》。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（16）环形扁带符合JB/T 8521.1-2007《编织吊索安全性第1部分：一般用途合成纤维扁平吊装带》，破断力不小于23.3kN。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（17）护绳套符合GB/T21196.2-2007《纺织品 马丁代尔法织物耐磨性的测定 第2部分：试样破损的测定》。</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手提式强光照明灯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1.符合GB30734-2014《消防员照明灯具》标准要求。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▲2.提供防爆合格证，防爆等级：≥EX db ia IIC T6 Gb。</w:t>
            </w:r>
            <w:r>
              <w:rPr>
                <w:rFonts w:hint="eastAsia" w:ascii="宋体" w:hAnsi="宋体" w:eastAsia="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折叠担架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1.结构组成：金属框架、高分子材料表面质材组成。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2.质量≤9.5 kg。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3.承载≥120kg。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4.应有2个滚轮，2根保险带。</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多功能担架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1.采用高质量尼龙板制成，可以弯曲变形，可水平或者垂直吊运。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2.展开尺寸≥250×80cm。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3.质量≤9kg。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4.最大承重≥120kg。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numPr>
                <w:ilvl w:val="0"/>
                <w:numId w:val="0"/>
              </w:numPr>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救生抛投器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1.符合GB/T 27906-2011《救生抛投器》标准要求。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2.抛射距离：水用≥120米，陆地≥180米。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激光测距仪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1.具备普通测距、水平距离、直线距离、垂直距离、两点测高、三点测高、空间任意两点跨距测量、面积体积测量、旗杆模式、温度检测、速度测量。</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2.测距显示：内置LCD显示+外置OLED触摸彩屏显示。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▲3.测量量程≥2000m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4.测量误差≤±0.2m（≤200m）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5.倾角范围≥-90°～90°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▲6.当前环境温度检测范围：-45℃~+130℃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▲7.具有北斗定位功能，能实时显示当前位置的经纬度数据。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8.放大倍率≥8倍</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9.具有震动提醒和数据存储功能。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10.内置≥800mA 充电系统量；测量次数≥10000次。</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测温仪</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▲1.测量范围：-50～1100℃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▲2.测量精度：±1.5%或±1.5℃</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3.测量物距比：12:1</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4.响应时间：≤500ms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5.具有高温/低温报警功能。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6.具有数据锁定和数据存储功能。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▲7.电池连续工作时间≥12h。</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漏电探测仪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1.手持式，探测仪长度不低于50cm，保证使用者的安全。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2.探测电压：120V/60Hz 或 220V/50Hz；7.2Kv/50Hz 或 15kV/50Hz。 </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3.自检功能≤3S。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4.灵敏度：具有高敏度、低敏度、前端（定位）等3档可调节。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▲5.LED手电筒：内置≥3W 照明灯，水平亮度≥1m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6.警示功能：内置≥16颗红色LED警示灯，红灯闪烁具有警示和指挥功能。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7.电子口哨：具有尖锐的电子口哨声音和警示灯爆闪的功能。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▲8.S0S功能：开启S0S模式时，探测仪白光灯闪烁、警示灯爆闪和蜂鸣器发出“三长三短”强烈的求救信号。</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9.破窗功能：内置机械钨钢尖头破窗器。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10.连续工作时间≥200h；内置可充电锂电池，电池容量≥3200mAh，配置铝箱。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有毒气体探测仪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1.具备泵吸采样功能，具有自动校准与自动归零功能，具备听觉/视觉/振动警报，可检测4种有毒有害和可燃等气体浓度；用于化工、应急救援和消防救援等行业检测。</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2.气体种类：可燃气LEL；氧气O</w:t>
            </w:r>
            <w:r>
              <w:rPr>
                <w:rFonts w:hint="eastAsia" w:ascii="宋体" w:hAnsi="宋体" w:eastAsia="宋体" w:cs="宋体"/>
                <w:i w:val="0"/>
                <w:iCs w:val="0"/>
                <w:color w:val="000000"/>
                <w:sz w:val="22"/>
                <w:szCs w:val="22"/>
                <w:highlight w:val="none"/>
                <w:u w:val="none"/>
                <w:lang w:val="en-US" w:eastAsia="zh-CN" w:bidi="ar"/>
              </w:rPr>
              <w:t xml:space="preserve">₂</w:t>
            </w:r>
            <w:r>
              <w:rPr>
                <w:rFonts w:hint="eastAsia" w:ascii="宋体" w:hAnsi="宋体" w:eastAsia="宋体" w:cs="宋体"/>
                <w:i w:val="0"/>
                <w:iCs w:val="0"/>
                <w:color w:val="000000"/>
                <w:sz w:val="22"/>
                <w:szCs w:val="22"/>
                <w:highlight w:val="none"/>
                <w:u w:val="none"/>
                <w:lang w:val="en-US" w:eastAsia="zh-CN" w:bidi="ar"/>
              </w:rPr>
              <w:t xml:space="preserve">；一氧化碳CO；硫化氢</w:t>
            </w:r>
            <w:r>
              <w:rPr>
                <w:rFonts w:hint="eastAsia" w:ascii="宋体" w:hAnsi="宋体" w:eastAsia="宋体" w:cs="宋体"/>
                <w:i w:val="0"/>
                <w:iCs w:val="0"/>
                <w:color w:val="000000"/>
                <w:sz w:val="22"/>
                <w:szCs w:val="22"/>
                <w:highlight w:val="none"/>
                <w:u w:val="none"/>
                <w:lang w:val="en-US" w:eastAsia="zh-CN" w:bidi="ar"/>
              </w:rPr>
              <w:t xml:space="preserve">H₂S。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3.气体量程：LEL:0-100%LEL；O2:0-30%VOL；CO:0-500PPM；H2S:0-100ppm。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▲4.气体精度：≤3%FS；响应时间：≤20秒（T90）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5.高清彩色屏：≥2.3英寸；可查看历史数据、实时曲线图。</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6.仪器支持背光自动休眠，休眠时长可设置。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▲7.检测方式：内置采集泵，泵吸采样方式；支持定时检测，支持单独关闭采样。</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8.警报方式：听觉、视觉和振动三种方式。</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9.报警模式设置：低限报警、高限报警、区间报警、加权平均值报警等设置。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10.存储容量：≥2万组数据存储；支持实时存储、定时存储，或只存报警浓度数据。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11.防护等级：≥IP65</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12.单电池使用时间：≥10小时</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13.工作温度≥-20℃-50℃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14.配置防水、防尘和防摔防护箱。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可燃气体检测仪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1.便携式可燃气体检测仪，用于检测事故现场易燃易爆气体,可检测易燃易爆气体的体积浓度。</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2.气体种类：可燃气。</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3.气体量程：EX:0-100%LEL。</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4.报警方式：视觉、振动、声音（95dB）</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5.低限、高限、STEL、TWA、OL（超限）、电量不足、视听警报在传感。</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6.器故障时、电池电量不足时和电路故障时（不间断）发出警报。</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7.防爆等级：≥ EX ia IIC T4 Ga</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8.防护等级：≥IP68</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9.工作温度：≥-20～+50°C</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10.工作时间：≥15h</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11.尺寸：≤11.3 * 6.0 * 3.2 cm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12.重量：≤200g</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sz w:val="22"/>
                <w:szCs w:val="22"/>
                <w:highlight w:val="none"/>
                <w:vertAlign w:val="baseline"/>
                <w:lang w:val="en-US" w:eastAsia="zh-CN"/>
              </w:rPr>
            </w:r>
            <w:r/>
          </w:p>
        </w:tc>
        <w:tc>
          <w:tcPr>
            <w:tcW w:w="1187"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t xml:space="preserve">中压分水器</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2.采用锻造工艺，进水口径：80mm；出水口径：3个65mm。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三分水</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1187"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2、采用锻造工艺，进水口径：80mm；出水口径：2个65mm。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二分水</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lang w:val="en-US" w:eastAsia="zh-CN"/>
              </w:rPr>
              <w:t xml:space="preserve">三</w:t>
            </w:r>
            <w:r>
              <w:rPr>
                <w:rFonts w:hint="eastAsia" w:ascii="宋体" w:hAnsi="宋体" w:eastAsia="宋体" w:cs="宋体"/>
                <w:sz w:val="22"/>
                <w:szCs w:val="22"/>
                <w:highlight w:val="none"/>
                <w:vertAlign w:val="baseline"/>
              </w:rPr>
              <w:t xml:space="preserve">分水器</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2.采用锻造工艺，进水口径：65mm；出水口径：3个40mm。</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lang w:val="en-US" w:eastAsia="zh-CN"/>
              </w:rPr>
              <w:t xml:space="preserve">二</w:t>
            </w:r>
            <w:r>
              <w:rPr>
                <w:rFonts w:hint="eastAsia" w:ascii="宋体" w:hAnsi="宋体" w:eastAsia="宋体" w:cs="宋体"/>
                <w:sz w:val="22"/>
                <w:szCs w:val="22"/>
                <w:highlight w:val="none"/>
                <w:vertAlign w:val="baseline"/>
              </w:rPr>
              <w:t xml:space="preserve">分水器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2.采用锻造工艺，进水口径：65mm；出水口径：2个40mm。</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39</w:t>
            </w:r>
            <w:r>
              <w:rPr>
                <w:rFonts w:hint="eastAsia" w:ascii="宋体" w:hAnsi="宋体" w:eastAsia="宋体" w:cs="宋体"/>
                <w:sz w:val="22"/>
                <w:szCs w:val="22"/>
                <w:highlight w:val="none"/>
                <w:vertAlign w:val="baseline"/>
                <w:lang w:val="en-US" w:eastAsia="zh-CN"/>
              </w:rPr>
            </w:r>
            <w:r/>
          </w:p>
        </w:tc>
        <w:tc>
          <w:tcPr>
            <w:tcW w:w="1187"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t xml:space="preserve">异型异径接口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12514.1-2005《消防接口》标准要求。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2.采用锻造工艺，卡式接口80mm转65mm雌。</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80转65</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1187"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12514.1-2005《消防接口》标准要求。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2.采用锻造工艺，卡式接口65mm转40mm雄。</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65转40</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消防员湿式水域救援防护服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1.主体颜色为橙色，加固部位为黑色，整体采用分体式设计,穿脱方便。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2.不低于3mm的氯丁橡胶材质可以在寒冷的温度中提供良好的热反射性能。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3.前置拉链可以使救援者穿、脱装备都迅速、便捷。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4.在腿部臀部都有加固材料垫，可以提供额外的保护。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5.手臂、腿部设有反光条，提高了救援者的警示性。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6.大腿两侧有口袋，可放置随身物品。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7.色牢度：耐水摩擦≥4级；耐洗沾色：≥4级；耐光色牢度：≥4级。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8.耐静水压：≥100kPa。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9.抗永久变形：经向：≥4.0% 纬向：≥4.0%。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10.质量：≤1.45kg。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消防员干式水域救援防护服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1.采用3层防水透气复合尼龙布,完全符合人体工学，穿着行动自由，不影响穿脱。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主体颜色为红色，加固部位为黑色，颜色显目，更利于救援；有门襟设计，防水拉链闭合，如厕时不用脱下整件衣服。集成式腰部束紧设计，左右两侧可调节舒适度；增加可拆卸可调节Y型背带。一体式袜套，防水，保暖，含有连体脚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3.大腿部两侧增加有排水孔工具袋，盛放必要救援物品的口袋，且有排水功能。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4.高亮反光带，两手臂都有反光条，膝盖和臀部位置耐磨采用加厚层。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5.前斜拉链为气密防水拉链，外设挡水护盖，保证完美的气密性，方便快速穿脱，满足单人穿脱要求。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6.领口、袖口使用乳胶材质，保证气密性和增强舒适度。 橡胶颈部和腕关节弹性伸缩袖口、领口。</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7.面料：表面抗湿性能沾水等级：≥4级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8.断裂强力：经向：≥890N，纬向：≥860N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9.撕破强力：经向：≥120N，纬向：≥120N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10.耐静水压：≥75kPa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11.接缝断裂强力：≥780N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12.整体防渗漏性能：经过抗渗漏试验后，进入防护服内水的质量：≤200g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13.质量：≤2.4kg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消防员水域救援防护靴</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1.由靴头、靴外底、靴跟、靴底和带舒适层的靴帮等组成；内有弹性潜水材料内胆，为足部提供良好的保暖性和踝部支撑。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2.靴子整体为系带式设计，鞋跟处凸起设计，方便与脚蹼搭配使用。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3.主体颜色采用黑色。从靴内后跟中央起至靴口最低处的高度为200mm。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4.鞋帮抗张强度：横向≥15N/mm2  纵向≥15N/mm2。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5.鞋帮撕裂强度：≥170 N/mm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6.外底断裂拉伸强度：≥17MPa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7.外底拉断伸长率：≥475%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8.外底相对体积磨耗量：≥140mm3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9.靴帮抗切割性能：不应被割穿。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10.靴帮抗刺穿性能：最大抗刺穿≥75N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11.靴底抗刺穿性能：抗刺穿力≥1200N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12.外底耐弯折性能：断裂长度≤9mm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13.防滑性能：始滑角≥14°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14.质量：≤1.4kg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消防员水域救援头盔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1.低重心无帽沿设计，贴合头部，顶端有≥6个透气孔。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2.头盔两侧一体式护耳部件。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3.ABS工程塑料注塑成型盔壳，高密度EVA缓冲垫。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4.头箍设有EVA衬垫，魔术贴固位。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5.快调式帽衬设计，带Go Pro NVG墨鱼干支架底座，侧面双导轨，可配救援头灯和水下照相机。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6.冲击吸收性能：冲击力的最大值≥3500N。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7.顶部抗冲击加速度性能：最大加速度：≥145g。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8.耐穿透性能：钢锥未穿透头盔与头模产生接触。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9.漂浮性能：经24小时的漂浮性能试验，头盔始终漂浮在水面上，不沉入水中。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10.质量：≤550g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消防员水域救援手套</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1.为五指分离式设计，掌心和手指部位敷有用于增强外层耐磨性的材料。手套袖筒长度超出腕骨≥65mm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2.消防员水域救援防护手套与水域救援服袖口配合穿戴，手套口有收紧设计，能限制杂物进入手套内。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3.抗切割性能：掌心面材料≥5N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4.撕破强力：掌心面材料≥62N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5.抗刺穿性能：掌心面刺穿力≥62N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6.灵巧性能：徒手控制百分≤200%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7.抓握性能：拉重力比≥88.0%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8.穿戴性能：穿戴时间≤8s</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激流救生衣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1.面料采用方形针织压力点和不低于1680D材质的尼龙面料。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2.采用背心式设计，胸襟采用塑钢开口拉链，后领口增加手提式松紧提拉带设计，方便携带。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3.环绕胸部设置一条多功能腰带，前胸是设置PFD自救装置，后背部设有牵引绳连接拉环。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4.活饵快卸系统：环绕胸部腰带一条，宽约5cm的尼龙织带，使用一组不锈钢日型环及塑钢固定，拉环上配置一根快速牵引绳，可以固定于肩部，不影响救援动作。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5.正面配置2个大容量排水网布构成的置物袋（可拆卸式设计），肩部配置一个对讲机口袋（可拆卸式设计），后背同时也增加一个大容量置物袋（可拆卸式设计）。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6.多个前置挂点的设计方便使用者在使用和固定刀、口哨时都方便快捷。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7.前后面缝制≥5条反光条，下摆部带有连接点，用于连接腿带固定带，以防水流水浪将救生衣冲脱。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8.浮力≥150N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9.浮力损失：救生衣在淡水中浸泡24h后，其浮力损失为≤3.5%</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消防员水域救援绳刀</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1.刀身为金属材料制造，并采用直形刀体、弧形刀刃和锯齿状刀背的结构，刀头为平头且不开刃，救援刀有刀鞘，刀柄有防滑设计。双面按压式开关，双手按下，刀会自动弹出到手上。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2.刀鞘采用双面安全开关机制，单独按一面不会弹出，确保救援刀不会滑落。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3.手柄处带有小长方形孔洞可作为压缩气瓶的扳手。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4.手柄处椭圆形孔洞可以作为开瓶器使用。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5.整刀长度：≥195mm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6.刀柄长度：≤120mm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7.质量：救援刀≤100g，救援刀连同刀鞘≤170g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8.刀体抗弯性能：刀体悬挂60kg重物，保持30min，不应发生断裂或变形。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9.硬度：≥53HRC</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207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牛尾绳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1.不低于30mm宽管状尼龙织带。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2.带有不锈钢 O 型环和安全钩，挂接方便快速。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3.牵引绳两端加厚塑胶塑封，良好的耐候性，牢固且耐摩擦。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4.规格：静态长度≥70cm、伸展后长度≥100cm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5.快速连接锁扣：表面编有反光丝方便黑暗条件下反光，颜色：黑色。</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水域救援头灯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1.亮度：≥300流明。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2.具备近光和频闪切换功能。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3.具备亮度调节功能。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4.具备红灯警示功能。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5.头灯重量：≤150g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6.发光时间：≥10h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7.射距离：≥10m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5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示位灯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1.外观新颖，结构简单，操作简便。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2.触水自动点亮设计，触水铜柱镀金处理，穿着救生衣服的跳入水中后自动点亮衣灯，不需要预先打开救生衣灯。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3.LED灯泡，节能、高效、寿命长。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4.外壳高频焊接，美观牢固不渗水。</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水域救援抛绳包</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1.采用高强度面料，底部有泄水孔排水措施，设有携带的提手。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2.绳索结构：为包芯绳结构，主承重部分由连续纤维制成。绳索表面无任何机械损伤现象，整绳粗细均匀、结构一致。绳皮编入2股贯穿全绳的蓄光发光纤维及1股反光条。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3.直径：≤8mm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4.长度：≥20m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5.延伸率：≤5.5%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6.破断强度：≥22.5kN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7.线密度：≤40g/m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中队级双光无人机</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飞行器：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1.裸机重量（带普通桨叶）：≤1500g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2.最大起飞重量（常规桨叶）：≥1000g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3.折叠尺寸：≤长300mm，宽400mm，高200mm。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4.最大载重：≥1430g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5.对角线轴距：≤550mm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6.最大上升速度：≥10m/s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7.最大下降速度：≥6m/s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8.最大水平飞行速度（海平面附近无风）：≥20m/s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9.最大起飞海拔高度：≥5500m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10.飞行器自带夜航灯。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相机：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1.广角相机像素：≥1/1.3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2.中长焦相机像素：≥1/1.3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3.长焦相机像素：≥1/1.5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4.最小拍照间隔：≤1秒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5.热成像传感器类型：非制冷氧化钒（VO*）；</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6.热成像相机分辨率：≥640×512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云台、感知：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1.云台稳定系统：三轴机械云台（俯仰、横滚、平移。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2.云台可控转动范围：俯仰≥-90°～ 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3.感知系统类型：全向双目视觉系统，辅以机身底部三维红外传感器。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图传：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1.最大信号有效距离（无干扰、无遮挡）：FCC≥25公里。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2.最大信号有效距离（有干扰）：强干扰：都市中心≥1.5公里；中干扰：近郊县城≥5公里；微干扰：远郊/海边≥15公里。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遥控器：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1.遥控器屏幕分辨率：≥1920×1200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2.遥控器屏幕尺寸：≥7英寸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3.遥控器内置电池续航时间：≥3.5小时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4.遥控器工作环境温度：-20℃～50℃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5.遥控器重量（不含外置电池）：≤1.5kg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套装内需要包含1台无人机，1块电池，1台遥控器，1个充电管家，1个安全箱，原厂1年机身保险，1年100万第三者责任险。</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自保多功能水枪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8181-2005《消防水枪》标准要求。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▲2.流量：直流≥9.5L/S，最大喷雾角时≥9.5L/S</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3.可单独使用直流或喷雾状态，也可使用直流/喷雾组合状态，灭火的同时又可自保。</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液压开门器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1.设备体积小、重量轻、携带方便；开启力大、开启能力强。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2.额定工作压力≥60Mpa；最大开启力≥80KN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3.闭合长度：≤300mm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4.开启距离：≥70mm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5.质量：≤8kg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舷外机</w:t>
            </w:r>
            <w:r>
              <w:rPr>
                <w:rFonts w:hint="eastAsia" w:ascii="宋体" w:hAnsi="宋体" w:eastAsia="宋体" w:cs="宋体"/>
                <w:i w:val="0"/>
                <w:iCs w:val="0"/>
                <w:color w:val="000000"/>
                <w:sz w:val="22"/>
                <w:szCs w:val="22"/>
                <w:highlight w:val="none"/>
                <w:u w:val="none"/>
                <w:lang w:val="en-US" w:eastAsia="zh-CN" w:bidi="ar"/>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1.功率：≥28kW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2.发动机缸数：≥2个。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3.重量：≤80kg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4.排量：≥650cc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5.油箱容积：≥24L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6.发动机浆叶为304不锈钢材质（或更优），浆叶片数量≥3片。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7.启动系统：手动或电启动器。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8.控制：手柄控制。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9.倾斜系统：手动倾斜。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10.润滑系统：预混汽油和机油。</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舟艇</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1.外长≥430cm，外宽≥190cm</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▲2.气囊数≥4个，辅助D型扣数量9个，船首拖拽装置1套，尾板高度400mm，最大载荷900kg。</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3.艇底结构：船底深V型设计，水阻小。</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4.艇身材质：≥0.9mmPVC复合加网材质</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5.底板材质：铝合金拼装底板</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▲6.耐压性：满载状态时，船艇各气囊加压至1.15倍额定压力后静置30min，无异样。</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▲7.气密性：额定压力为0.025Mpa，空载状态下浮筒静置60min后剩余压力为0.025Mpa；额定压力为0.035Mpa，空载状态下充气底板静置60min后剩余压力为0.035Mpa。</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▲8.安全及性能要求：静态稳性满载10人当所有人移至船体一舷时，倾斜角度≤10°，满载排水量≥978kg， 配30马力船外机最大航速空载≥46km/h,载重400kg时航速≥ 38km/h。</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9.回转直径：载重75kg，航速11km/h时，左转≤3.0m，右转≤3.8m。</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10.充气时间：采用额定压力30Mpa气瓶充气时间≤130S</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▲11.依据SL297-2004对橡胶涂覆织物物理性能检测：经向拉伸强度≥90kN/m，纬向拉伸强度≥71kN/m、经向梯形撕裂强度≥420N。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12.安全性：依据GB/T26572-2011、GB8410-2006 对四种限用物质铅、镉、汞、六价铬及邻苯二甲酸酯均不应检出。</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13.为防止橡皮艇污染水体，依据GB6675.4-2014对下列八大重金属材质：可溶性铅、可溶性锑、可溶性砷、可溶性钡、可溶性镉、可溶性铬、可溶性汞、可溶性硒，均不应检出。</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14.耐磨性：依据GB/T19089-2012、GB/T19089-2012检测，在12kPa压力下，PVC材料的耐磨性≥1000次摩擦后无变化，抗刺穿性≥166N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15.可配备2冲程30马力短轴船外机。</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16.产品经过中国船级社（CCS）检验。</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艘</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机动链锯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1.适用于切割木头、石膏板等。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2.发动机排量：≥50 CC</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3.功率：≥2.4 kW</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二级化学防护服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770-2008《消防员化学防护服装》标准要求。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救生照明线</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26783-2011《消防救生照明线》标准要求。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2.线体长度≥100m。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▲3.线体能承受拉力≥300N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4.质量≤6kg</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止坠器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1.锁止机构挤压式制动模式抓绳器，用于自动制动与防坠落保护。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2.材质：侧板铝合金；棘齿不锈钢。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3.侧板厚度：≥3mm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4.适用绳径8-13mm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6.尺寸：≤100*70*25mm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7.重量：≤200g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60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安全钩</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1.材质：铝合⾦。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2.尺⼨：≤110×60×20mm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4.纵向断裂强度：≥22kN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5.横向断裂强度：≥7kN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6.开口拉力：≥7kN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7.开⼝尺⼨：≥19mm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61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短连接</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1.短连接，多用于攀岩中固定保护点（如挂片、岩钉）连接、登山、消防救援与高海拔作业中的安全带与固定锚点连接等。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2.材质：铝合金、涤纶。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3.开口距离：≥21±1mm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5.极限负荷：≥22kN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7.扁带长度：≥12cm，宽度：≥20mm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8.重量：≤190g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静力绳</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1.材料：尼龙和聚酯纤维。</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2.长度≥50米；直径≥10.5毫米。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3.断裂强度≥22KN，8字结强度≥12KN，冲击力（系数0.3）：≥4KN，冲坠次数≥10次，静力延展率≥2.5%，绳皮占有率：≥40%，线轴数≥20，重量≤95克/米。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动力绳</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1.具有优秀的耐磨耐冲击性能，外皮经过热处理手感更加舒适。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2.长度≥50米；直径≥11mm。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3.冲击力≥7.7kN；坠落次数≥16；动态延展率≥35%；静态延展率≥9.5%；表皮滑动率≥0mm；线轴数≥48；重量≤90克/米。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IDS下降器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1.手柄应为非金属材质，可自动回弹，通过手柄的不同位置可以实现下降、存储、锁止等功能。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2.带有防慌乱功能。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3.带有防倒装锁定齿，在绳索倒装时可以将绳索卡住避免跌落。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4.具备至少两个摩擦位置，至少包含1个钢制V形摩擦槽和1个侧板的钢制摩擦唇。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5.侧板可在连接状态下打开，也可通过自带螺丝锁定。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6.应有预留接口，可后续根据需要加装一个辅助摩擦块。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7.应可在倾斜或水平面进行顺畅移动。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8.应也可通过按压凸轮送绳。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9.兼容绳索直径范围应达到：10-11.5mm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10.单人最大工作负荷≥150kg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11.双人最大工作负荷（救援）≥250kg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12.重量≤600g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13.应能承受1.5倍的最大载荷3min，在锁止状态下的滑移不应大于125mm，卸载后应能正常解锁。</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高空手套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山羊皮面料柔软舒适、有弹性。手掌高磨损部位采用耐磨层提高耐用性。背面活动区域使用耐磨弹性材料具有很高的舒适性与透气性。手套腕部设有魔术贴搭扣，粘贴牢固，并可以自行调整松紧，手腕设置圆孔方便与安全钩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2.尺码：S、M、L码可选。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3.重量：≤110g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4.颜色：黑色。</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墙角保护器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1.用于保护绳索，避免建筑物的棱角、墙角、岩石等粗糙尖锐凸起部分磨损绳索。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2.共有四组梯架，六个椭圆快速连接器连接，可根据绳索经过的地形变化组合，将绳索架离锋利的切割面。多个连接孔可用不同方式连接。允许多模块连接以适应不同作业情况的现场。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4.极限负荷：≥25kN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5.材质：7075铝合金、304不锈钢。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6.尺寸：≤50×18×5.8cm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7.连接孔径：约16mm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8.重量：≤1kg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可调牛尾</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调式行进双挽索，动力绳可吸收冲击力，可以在各种行进方式下提供连接保护（绳索上升、生命线移动等）。一端含有调节器，可以很容易地调节挽索长度。锁扣的位置是固定的，方便钩挂，配合安全带使用，用于稳定锚点、短距离作业，主要用于防坠落保护、高空定位及救援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2.材质：绳索尼龙；调节扣7075铝合金。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4.极限负荷：≥22kN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5.长度：固定端≥65cm，调节端≥95cm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绳索保护垫</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1.绳索垫布，救援时，铺垫于地⾯，有效保护装备与地⾯的直接摩擦。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2.不低于1680D的牛津布加密面料车缝结构坚固耐磨，充分保护。6个镀锌钢≥16mm孔径气眼，可直接挂主锁固定，实现快速多个垫拼接；保护面积大，适合不规则的环境使用。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3.尺寸：≥140*80cm；厚度≥2mm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4.重量：≤1200g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5.连接孔：≥16mm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绳索保护器滑轮组</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2.用于保护绳索，避免建筑物的棱角、墙角、岩石等粗糙尖锐凸起部分预防磨损绳索。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3.链条式设计（可多联），4角设置有系辅绳固定用挂点。收纳体积小，展开保护面积大，可组合不同长度，围柱，直角，斜坡等环境均适合使用。</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警戒带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1.用于消防灭火救援、灾害事故现场警戒。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2.具有反光功能，材质抗拉伸。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3.每盘宽度≥5cm，长度≥50米。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锥型事故标志柱</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1.用于灾害事故现场道路警戒。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2.具有防晒,耐热,耐寒不变色等优点；材质牢固，外敷高强级标准反光材料，红白相间,颜色醒目。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3.纯橡胶制品，耐撞击、碾压、耐水、灰尘，能迅速回弹，不伤车伤人。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4.高度≥70cm。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危险警示牌</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1.灾害事故现场警戒警示。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2.金属材料制作，规格分三角形状，边长≥400mm，表面红、黄反光漆。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3.分为有毒、易燃、泄漏、爆炸、危险等五种标志。</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电台</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★1.对讲机应具有中华人民共和国工业和信息化部颁发的《无线电发射设备型号核准证》</w:t>
            </w:r>
            <w:r>
              <w:rPr>
                <w:rFonts w:hint="eastAsia" w:ascii="宋体" w:hAnsi="宋体" w:eastAsia="宋体" w:cs="宋体"/>
                <w:b/>
                <w:bCs/>
                <w:i w:val="0"/>
                <w:iCs w:val="0"/>
                <w:color w:val="000000"/>
                <w:sz w:val="22"/>
                <w:szCs w:val="22"/>
                <w:highlight w:val="none"/>
                <w:u w:val="none"/>
                <w:lang w:val="en-US" w:eastAsia="zh-CN" w:bidi="ar"/>
              </w:rPr>
              <w:t xml:space="preserve">（提供有效的证书）</w:t>
            </w:r>
            <w:r>
              <w:rPr>
                <w:rFonts w:hint="eastAsia" w:ascii="宋体" w:hAnsi="宋体" w:eastAsia="宋体" w:cs="宋体"/>
                <w:b/>
                <w:bCs/>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2.支持接入语音自组网基站。</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3.频率范围：350-400MHz</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4.发射功率：≤3.5W</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▲5.具备按照消防三级组网要求预设频率、一键选频功能。</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5"/>
              </w:numPr>
              <w:jc w:val="left"/>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具备一键报警撤离功能，对讲机可配置1个一键撤离按键，紧急情况下通过在对讲机按报警键，可一键发送紧急撤离指令。</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7.对讲机须支持全程录音、录音文件导出功能。</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8.显示屏：≥2.0英寸彩色半反半透显示屏，便于在强光、弱光下清晰可见。</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9.键盘按键尺寸≥10mm×8mm（L×H）</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10.电池：按百分比显示剩余电池电量；工作时间：≥12小时。</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11.内置蓝牙模块。</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▲12.内置单北斗模块。</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▲13.防护等级：≥IP68</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14.须支持PDT集群、PDT常规、模拟MPT1327集群、模拟常规四种工作模式。</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15.防湿、冲击和振动符合中国军标GJB 150.9A-2009标准。</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16.内置NFC功能。</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17.外壳材料：防火级别至少为V-0</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▲18、防爆等级：不低于EX ibⅡB T4 Gb；EX ib ⅢB T135℃ Db</w:t>
            </w:r>
            <w:r>
              <w:rPr>
                <w:rFonts w:hint="eastAsia" w:ascii="宋体" w:hAnsi="宋体" w:eastAsia="宋体" w:cs="宋体"/>
                <w:b/>
                <w:bCs/>
                <w:i w:val="0"/>
                <w:iCs w:val="0"/>
                <w:color w:val="000000"/>
                <w:sz w:val="22"/>
                <w:szCs w:val="22"/>
                <w:highlight w:val="none"/>
                <w:u w:val="none"/>
                <w:lang w:val="en-US" w:eastAsia="zh-CN" w:bidi="ar"/>
              </w:rPr>
              <w:t xml:space="preserve">（提供防爆证书）</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▲19.支持高级降噪技术，噪声抑制能力不小于25dB。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接收部分：</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1.数字接收灵敏度：≤-118dBm@BER5%</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2.邻道选择性：≥60dB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3.互调：≥65dB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4.杂散响应抑制：≥70dB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5.阻塞：≥84dB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6.共信道抑制检验：≥-12dB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发射部分：</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1.发射功率：≤3.5W</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2.4FSK调制频偏误差检验：≤10%</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3.4FSK发射误码率检验：≤1*10-4 </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4.占用带宽：≤8.5kHz</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5.频率误差检验：≤1.5*10-6 </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快速攻击炮</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19156-2019《消防炮》标准要求。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▲2.流量三档调节：20L/S，30L/S，40L/S；射程≥66米。</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3.重量≤11公斤。</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无齿锯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32460-2015《消防应急救援装备 破拆机具通用技术条件》标准要求。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2.功率≥5.5kW。</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663"/>
        <w:keepLines w:val="0"/>
        <w:keepNext w:val="0"/>
        <w:pageBreakBefore w:val="0"/>
        <w:spacing w:before="157" w:after="157" w:line="3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663"/>
        <w:keepLines w:val="0"/>
        <w:keepNext w:val="0"/>
        <w:pageBreakBefore w:val="0"/>
        <w:spacing w:before="157" w:after="157" w:line="360" w:lineRule="exact"/>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采购包2</w:t>
      </w:r>
      <w:r>
        <w:rPr>
          <w:rFonts w:ascii="宋体" w:hAnsi="宋体" w:eastAsia="宋体" w:cs="宋体"/>
          <w:b/>
          <w:bCs/>
          <w:sz w:val="28"/>
          <w:szCs w:val="28"/>
          <w:lang w:val="en-US" w:eastAsia="zh-CN"/>
        </w:rPr>
      </w:r>
      <w:r/>
    </w:p>
    <w:tbl>
      <w:tblPr>
        <w:tblStyle w:val="694"/>
        <w:tblW w:w="99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125"/>
        <w:gridCol w:w="5383"/>
        <w:gridCol w:w="864"/>
        <w:gridCol w:w="864"/>
        <w:gridCol w:w="864"/>
      </w:tblGrid>
      <w:tr>
        <w:trPr>
          <w:trHeight w:val="575"/>
          <w:tblHeade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
              </w:rPr>
            </w:r>
            <w:r/>
          </w:p>
        </w:tc>
        <w:tc>
          <w:tcPr>
            <w:tcW w:w="112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器材名称</w:t>
            </w:r>
            <w:r>
              <w:rPr>
                <w:rFonts w:hint="eastAsia" w:ascii="宋体" w:hAnsi="宋体" w:eastAsia="宋体" w:cs="宋体"/>
                <w:b/>
                <w:bCs/>
                <w:i w:val="0"/>
                <w:iCs w:val="0"/>
                <w:color w:val="000000"/>
                <w:sz w:val="21"/>
                <w:szCs w:val="21"/>
                <w:u w:val="none"/>
                <w:lang w:val="en-US" w:eastAsia="zh-CN" w:bidi="ar"/>
              </w:rPr>
            </w:r>
            <w:r/>
          </w:p>
        </w:tc>
        <w:tc>
          <w:tcPr>
            <w:tcW w:w="5383"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主要技术要求</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正压式空气呼吸器（</w:t>
            </w:r>
            <w:r>
              <w:rPr>
                <w:rFonts w:hint="eastAsia" w:ascii="宋体" w:hAnsi="宋体" w:eastAsia="宋体" w:cs="宋体"/>
                <w:i w:val="0"/>
                <w:iCs w:val="0"/>
                <w:color w:val="000000"/>
                <w:sz w:val="21"/>
                <w:szCs w:val="21"/>
                <w:highlight w:val="none"/>
                <w:u w:val="none"/>
                <w:lang w:val="en-US" w:eastAsia="zh-CN" w:bidi="ar"/>
              </w:rPr>
              <w:t xml:space="preserve">6.8L）</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1.符合XF 124-2013《正压式消防空气呼吸器》标准。</w:t>
            </w:r>
            <w:r>
              <w:rPr>
                <w:rFonts w:hint="eastAsia" w:ascii="宋体" w:hAnsi="宋体" w:eastAsia="宋体" w:cs="宋体"/>
                <w:i w:val="0"/>
                <w:iCs w:val="0"/>
                <w:color w:val="000000"/>
                <w:sz w:val="21"/>
                <w:szCs w:val="21"/>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2.阻燃性能达到EN137的高温火焰吞没测试要求。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3.该产品主要核心部件由全面罩、供气阀、减压器、警报器、背架组成。且所有核心部件为同一品牌产品铭牌。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4.空呼气瓶容积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6.8L，工作压力30MPa，符合</w:t>
            </w:r>
            <w:r>
              <w:rPr>
                <w:rFonts w:hint="eastAsia" w:ascii="宋体" w:hAnsi="宋体" w:eastAsia="宋体" w:cs="宋体"/>
                <w:i w:val="0"/>
                <w:iCs w:val="0"/>
                <w:color w:val="000000"/>
                <w:sz w:val="22"/>
                <w:szCs w:val="22"/>
                <w:u w:val="none"/>
                <w:lang w:val="en-US" w:eastAsia="zh-CN" w:bidi="ar"/>
              </w:rPr>
              <w:t xml:space="preserve">GB</w:t>
            </w:r>
            <w:r>
              <w:rPr>
                <w:rFonts w:ascii="宋体" w:hAnsi="宋体" w:eastAsia="宋体" w:cs="宋体"/>
                <w:i w:val="0"/>
                <w:iCs w:val="0"/>
                <w:color w:val="000000"/>
                <w:sz w:val="22"/>
                <w:szCs w:val="22"/>
                <w:u w:val="none"/>
                <w:lang w:val="en-US" w:eastAsia="zh-CN" w:bidi="ar"/>
              </w:rPr>
              <w:t xml:space="preserve">/T</w:t>
            </w:r>
            <w:r>
              <w:rPr>
                <w:rFonts w:hint="eastAsia" w:ascii="宋体" w:hAnsi="宋体" w:eastAsia="宋体" w:cs="宋体"/>
                <w:i w:val="0"/>
                <w:iCs w:val="0"/>
                <w:color w:val="000000"/>
                <w:sz w:val="22"/>
                <w:szCs w:val="22"/>
                <w:u w:val="none"/>
                <w:lang w:val="en-US" w:eastAsia="zh-CN" w:bidi="ar"/>
              </w:rPr>
              <w:t xml:space="preserve">2805</w:t>
            </w:r>
            <w:r>
              <w:rPr>
                <w:rFonts w:hint="eastAsia" w:ascii="宋体" w:hAnsi="宋体" w:eastAsia="宋体" w:cs="宋体"/>
                <w:i w:val="0"/>
                <w:iCs w:val="0"/>
                <w:color w:val="000000"/>
                <w:sz w:val="22"/>
                <w:szCs w:val="22"/>
                <w:u w:val="none"/>
                <w:lang w:val="en-US" w:eastAsia="zh-CN" w:bidi="ar"/>
              </w:rPr>
              <w:t xml:space="preserve">3-2023的规定。气瓶阀采用右手手轮设计，带自锁功能，安全可靠，防止误操作关闭气瓶。刻度显示0-40Ma，方便随时查看气瓶剩余压力，带夜光显示。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5.空呼面罩体采用EPDM橡胶材质，具有优异的阻燃性能，边框为双层设计，密封性良好，无压痛感。面罩视野开阔，总视野保留率≥79.3%，双目视野保留率≥67.5%，镜面透光率≥95%，吸入空气中二氧化碳含量≤0.89%。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6.面罩、口鼻罩均有3个尺寸可选，能够适应各种脸型。面屏防划、抗冲击，无视觉扭曲。面罩配有颈带，面罩护套，便于携带和存储。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7.空呼需气阀最大供气流量不小于500升/分钟，接头可全方向360度旋转，方便插入面罩，吸气自动供气。供气阀可现场免工具拆解清洗，便于日常清洁保养维护。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8.空呼背板人体工程学设计，贴合性好，高强度复合材料中空背板，重量更轻背负更舒适，6.8L，9L通用。 肩垫和腰垫采用国际顶尖防水耐磨的EVA材质，防水性能极佳且易于维护，气瓶固定带采用增强氯丁橡胶材质,无尼龙搭扣设计，更耐用且缩放气瓶带更便利。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9.空呼气路管中高压管路以及减压阀采用内嵌设计，隐藏在背板凹槽内，减少钩挂和撞击伤害，保护气路。在充满气的状态下，整机佩戴质量≤12kg。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10.智能压力表采用电子报警和机械压力表报警哨设计，机械压力表测量范围不低于40MPa，精度应不低于1.6级，其漏气量≤10L/min。启动报警器平均耗气量≤3.2L/min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11.电子压力表系统正常工作时，压力表指示灯闪绿色，报警时显示红色，方便佩戴者和同伴了解报警信息。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12.气动报警哨与电子报警双报警模式，其中，报警哨与压力表一体化设计，报警哨内置于压力表管路内，并有橡胶套保护，可避免碰撞障碍物发生意外损害。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空呼具备压力平视功能，压力平视装置采用无线连接，安装在面罩内部，防止外部撞击伤害，可不使用任何工具独立拆卸，便于日常维护清洁。抬头显示系统（HUD）不仅支持气瓶压力的显示，当压力不足时，还可实现低压震动报警功能，从而实现空呼的可视，可闻以及可感知的全方位低压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14.压力平视装置采用无线连接，首次使用匹配后，每次使用都可以自动连接，操作简单。当气瓶压力30MPa～10MPa时，绿灯常亮；10MPa～6MPa时，黄灯常亮；6 MPa以下时，红灯闪烁。无论是压力平视显示装置还是发射装置低电量时，压力平视显示都可以通过指示电量灯显示，当压力平视装置电池电量低时，电量指示灯闪黄灯，当智能压力表电池电量低时，电量指示灯显闪绿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15.压力平视装置的防爆性能不低于EXia IIC T4 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▲16.空呼经标准要求的动态呼吸阻力试验后，在气瓶压力30MPa～2MPa，呼气量40×2.5L/min时，吸气阻力≤235Pa，呼气阻力≤589Pa；在气瓶压力2MPa～1MPa，呼气量25×2L/min时，吸气阻力≤157Pa，呼气阻力≤506Pa。</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17.空呼经标准要求的耐高温试验后，呼气阻力≤585Pa。空呼经标准要求的耐低温试验后，呼气阻力≤544Pa。</w:t>
            </w:r>
            <w:r>
              <w:rPr>
                <w:rFonts w:hint="eastAsia" w:ascii="宋体" w:hAnsi="宋体" w:eastAsia="宋体" w:cs="宋体"/>
                <w:i w:val="0"/>
                <w:iCs w:val="0"/>
                <w:color w:val="000000"/>
                <w:sz w:val="22"/>
                <w:szCs w:val="22"/>
                <w:u w:val="none"/>
                <w:lang w:val="en-US" w:eastAsia="zh-CN" w:bidi="ar"/>
              </w:rPr>
            </w:r>
            <w:r/>
          </w:p>
          <w:p>
            <w:pPr>
              <w:pStyle w:val="663"/>
              <w:ind w:left="0" w:right="0" w:firstLine="0"/>
              <w:jc w:val="left"/>
              <w:keepLines w:val="0"/>
              <w:keepNext w:val="0"/>
              <w:pageBreakBefore w:val="0"/>
              <w:spacing w:line="360" w:lineRule="exact"/>
              <w:widowControl w:val="off"/>
              <w:rPr>
                <w:rFonts w:ascii="宋体" w:hAnsi="宋体" w:eastAsia="宋体" w:cs="宋体"/>
                <w:sz w:val="21"/>
                <w:szCs w:val="21"/>
                <w:vertAlign w:val="baseline"/>
                <w:lang w:val="en-US"/>
              </w:rPr>
              <w:suppressLineNumbers w:val="0"/>
            </w:pPr>
            <w:r>
              <w:rPr>
                <w:rFonts w:hint="eastAsia" w:ascii="宋体" w:hAnsi="宋体" w:eastAsia="宋体" w:cs="宋体"/>
                <w:i w:val="0"/>
                <w:iCs w:val="0"/>
                <w:color w:val="000000"/>
                <w:sz w:val="22"/>
                <w:szCs w:val="22"/>
                <w:u w:val="none"/>
                <w:lang w:val="en-US" w:eastAsia="zh-CN" w:bidi="ar"/>
              </w:rPr>
              <w:t xml:space="preserve">18.空呼经标准要求的耐辐射热性能试验后，在气瓶压力30MPa～2MPa，呼气量40×2.5L/min时，吸气阻力≤23Pa，呼气阻力≤538Pa。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19.空呼静态压力≤262Pa，整机气密性测试后，其压力指示值在1min内下降为≤2MPa。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20.提供中文使用说明书。</w:t>
            </w:r>
            <w:r>
              <w:rPr>
                <w:rFonts w:ascii="宋体" w:hAnsi="宋体" w:eastAsia="宋体" w:cs="宋体"/>
                <w:sz w:val="21"/>
                <w:szCs w:val="21"/>
                <w:vertAlign w:val="baseline"/>
                <w:lang w:val="en-US"/>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消防六米拉梯</w:t>
            </w:r>
            <w:r>
              <w:rPr>
                <w:rFonts w:hint="eastAsia" w:ascii="宋体" w:hAnsi="宋体" w:eastAsia="宋体" w:cs="宋体"/>
                <w:sz w:val="21"/>
                <w:szCs w:val="21"/>
                <w:vertAlign w:val="baseline"/>
              </w:rPr>
            </w:r>
            <w:r/>
          </w:p>
        </w:tc>
        <w:tc>
          <w:tcPr>
            <w:tcW w:w="5383"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1.该产品符合XF 137-2007《消防梯》标准要求。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2.工作高度：6±0.2m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3.最小梯宽：300±3mm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4.梯蹬间距：280±2mm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5.整梯质量：≤26kg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6.梯节扭转角：≤11°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7.水平弯曲残余变形比值：≤0.13％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8.梯蹬弯曲残余变形比值：≤0.10％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9.侧板悬臂弯曲最大变形值：≤1.4mm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10.侧板摇摆残余变形比值≤0.12％</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手抬机动消防泵</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1.符合GB 6245-2006《消防泵》标准要求。</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2.发动机采用双缸、四冲程、风冷，额定功率≥14kw。启动方式：电启动；自回式手拉启动。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3.引水方式：采用全铝油式碳纤维旋片真空泵引水（腔体和转子选用高密度alsimg材质），真空泵前端设置过滤网，且滤网目数≥100目，有效过滤杂物。7米吸深引水时间＜11s，真空密封性能为0，  最大真空度≥88kpa。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4.吸水口径：≥80mm（外螺纹式） ；出水口径：65mm；出水口 180 度可旋转。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5.工况1：吸深3米：额定压力≥0.6Mpa，额定流量≥18.5L/s；工况2：吸深7米：出口压力≥0.6Mpa，流量≥9L/s。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6.最大工作压力≥0.96mpa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7.扬程≥90米；最大流量≥1500L/min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8.置于</w:t>
            </w:r>
            <w:r>
              <w:rPr>
                <w:rFonts w:hint="eastAsia" w:ascii="宋体" w:hAnsi="宋体" w:eastAsia="宋体" w:cs="宋体"/>
                <w:i w:val="0"/>
                <w:iCs w:val="0"/>
                <w:color w:val="000000"/>
                <w:sz w:val="22"/>
                <w:szCs w:val="22"/>
                <w:highlight w:val="none"/>
                <w:u w:val="none"/>
                <w:lang w:val="en-US" w:eastAsia="zh-CN" w:bidi="ar"/>
              </w:rPr>
              <w:t xml:space="preserve">-5℃环境下24h，</w:t>
            </w:r>
            <w:r>
              <w:rPr>
                <w:rFonts w:hint="eastAsia" w:ascii="宋体" w:hAnsi="宋体" w:eastAsia="宋体" w:cs="宋体"/>
                <w:i w:val="0"/>
                <w:iCs w:val="0"/>
                <w:color w:val="000000"/>
                <w:sz w:val="22"/>
                <w:szCs w:val="22"/>
                <w:u w:val="none"/>
                <w:lang w:val="en-US" w:eastAsia="zh-CN" w:bidi="ar"/>
              </w:rPr>
              <w:t xml:space="preserve">冷启动时间≤3s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9.整机重量（加注好润滑油、燃油，含电瓶）≤86.5kg；外形尺寸≤650*590*660mm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10.无机油保护装置；设备未加注机油时，自动控制火花塞暂停点火。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11.自动充电装置,带有自动充电装置功能的配置，能保证机器在运转过程中自行给蓄电池充电,保证蓄电池电量充足。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12.泵组配置先进的轴向力平衡装置，有效避免流体的压力差对性能的影响。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13.多台设备串联,通过选配的专用连接工具,使多台设备能串联工作,达到远距离供水的目的。</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水幕水带</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1.符合GB 6246-2011《消防水带》的要求。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2.织物层原材料采用涤纶长丝，内衬聚氨酯材料。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3.在一定压力下能喷射形成水雾状屏障，两喷雾孔间距35±1cm。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4.设计工作压力：1.6MPa，公称内径 65mm，水带编织层与衬里之间的附着强度≥58N/25mm，在设计工作压力下其轴向延伸率和直径膨胀率≤1.7%，膨胀率≤2.8%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5.带卡式消防接口，公称直径65mm</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移动照明灯</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1.结构组成：灯头组件、升降杆组件、灯头罩组件、按键盒组件、支腿组件、滑柄组件、电池组件。</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2.检测标准依据：GB 26755-2011《消防移动式照明装置》。</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4.外形尺寸：≤201*230*1200mm（收纳状态）</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≤800*800*4020mm（升起状态）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5.照明形式：聚光+泛光，面板开关控制，开关/调光，按键控制灯光开启，弱光-工作光-强光转换。灯具APP控制可以实现灯光亮度的连续调节，调光范围10%～100%无极调光。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6.通过APP蓝牙连接可实现灯具及警示灯开关，灯光亮度的10%～100%无极调光，电量显示、灯具充电状态查看，控制距离≥30m。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7.额定电压：≥DC22.2V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▲8.额定容量：≥25Ah</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9.额定功率：≥180W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10.电池使用寿命：≥500次循环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11充电时间：＜5h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▲12.水平回转角：≥360°，俯仰角≥180°</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13.整机重量：≤15kg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14.灯具携带方式：手提、背负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15.支撑方式：金属三角支腿，五节支撑杆。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16.连续工作时间：弱光≥13h，工作光≥10h，强光≥6h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17.绝缘电阻：≥100MΩ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18.耐压强度：试验后应无击穿、闪络现象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19.限位性能：1h内升降杆下滑应不超过6cm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20.抗弯性能：在承受一定的水平拉力后，不得产生永久性变形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21.标志：产品合适的位置上应设有铭牌，标记以下内容：制造厂名、产品名称、产品型号、制造日期、执行标准代号。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▲22.照度：强光工作下：1 米中心照度（单向）≥60000 l*，5米中心照度（单向）≥2700 l*，10 米中心照度（单向）≥600 l*</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23.高温试验、低温试验、恒定湿热试验、雨淋试验、振动试验：试验后，照明装置应能正常工作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24.防爆标志：EX eb ib mb IICT5 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25.防护性能≥IP66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26.使用外接适配器可接入220V电源，可实现长时间工作。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27.三灯头设计，照射角度可调节，可实现单向及环形照明，配备高亮度警示灯，在提供现场作业照明同时增强作业保障能力，最大升起高度4m。</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消防九米拉梯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1.该梯由上、下二节组成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2.工作高度：9±0.2m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3.最小梯宽：300±3mm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5.整梯质量：≤26kg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6.梯节扭转角：≤8.0°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7.水平弯曲残余变形比值：≤0.11％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8.梯蹬弯曲残余变形比值：≤0.07％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9.侧板悬臂弯曲最大变形值：≤1.0mm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10.侧板摇摆残余变形比值≤0.09％</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十五米金属拉梯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1.采用航空铝材</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符合XF137-2007《消防梯》要求。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2.由上、中、下三节组成。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3.工作高度：15±0.3m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4.最小梯宽：350±4mm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6.整梯质量：≤69.2kg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7.梯节扭转角：≤10°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8.水平弯曲残余变形比值：≤0.08％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9.梯蹬弯曲残余变形比值：≤0.11％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10.侧板悬臂弯曲最大变形值：≤1.0mm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11.侧板摇摆残余变形比值：≤0.05％</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哈里根铤</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一根杆体一端设置有羊角撬头；</w:t>
            </w:r>
            <w:r>
              <w:rPr>
                <w:rFonts w:hint="eastAsia" w:ascii="宋体" w:hAnsi="宋体" w:eastAsia="宋体" w:cs="宋体"/>
                <w:i w:val="0"/>
                <w:iCs w:val="0"/>
                <w:color w:val="000000"/>
                <w:sz w:val="22"/>
                <w:szCs w:val="22"/>
                <w:u w:val="none"/>
                <w:lang w:val="en-US" w:eastAsia="zh-CN" w:bidi="ar"/>
              </w:rPr>
              <w:t xml:space="preserve">另一端是尖镐头，尖镐头和扁镐头固接为一体；拔钉器单根宽度67mm±5mm；开口20mm±5mm ；长度：187mm；鸭嘴撬宽度50mm±5mm，高度153mm, 鹰嘴撬（尖镐）：长度95mm±10mm，产品尖刃能凿穿厚度1.6mm的Q235A钢板且刃口无明显崩刃和开裂，起撬部位应能承受 7840N的载荷；手柄力≥800N，撬锁力≥16KN，拔钉力≥18KN，撬门力≥10KN工具撬口、刀口、镐头、金属柄杆体，刃口做热处理，硬度≥45度。具有撬、砸、刺、捣、绞扭等多项功能，可破拆建筑物门窗、锁具、钉子、螺栓等。</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挂钩梯</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1.工作高度：4±0.1m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2.最小梯宽：250±2mm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4.整梯质量：≤8.5kg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5.梯节扭转角：≤10°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6.水平弯曲残余变形比值：≤0.11％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7.梯蹬弯曲残余变形比值：≤0.12％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8.侧板摇摆残余变形比值：≤0.09％</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5"/>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手动破拆工具组</w:t>
            </w:r>
            <w:r>
              <w:rPr>
                <w:rFonts w:hint="eastAsia" w:ascii="宋体" w:hAnsi="宋体" w:eastAsia="宋体" w:cs="宋体"/>
                <w:sz w:val="21"/>
                <w:szCs w:val="21"/>
                <w:vertAlign w:val="baseline"/>
              </w:rPr>
            </w:r>
            <w:r/>
          </w:p>
        </w:tc>
        <w:tc>
          <w:tcPr>
            <w:tcW w:w="5383" w:type="dxa"/>
            <w:vAlign w:val="top"/>
            <w:textDirection w:val="lrTb"/>
            <w:noWrap w:val="false"/>
          </w:tcPr>
          <w:p>
            <w:pPr>
              <w:pStyle w:val="666"/>
              <w:ind w:left="0" w:right="0" w:firstLine="0"/>
              <w:keepLines w:val="0"/>
              <w:keepNext w:val="0"/>
              <w:pageBreakBefore w:val="0"/>
              <w:spacing w:before="0" w:beforeAutospacing="0" w:after="0" w:afterAutospacing="0" w:line="17" w:lineRule="atLeast"/>
              <w:shd w:val="clear" w:color="auto" w:fill="ffffff"/>
              <w:widowControl w:val="off"/>
              <w:rPr>
                <w:rFonts w:hint="eastAsia" w:ascii="宋体" w:hAnsi="宋体" w:eastAsia="宋体" w:cs="宋体"/>
                <w:sz w:val="21"/>
                <w:szCs w:val="21"/>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olor w:val="000000"/>
                <w:sz w:val="22"/>
                <w:szCs w:val="22"/>
                <w:u w:val="none"/>
                <w:lang w:val="en-US" w:eastAsia="zh-CN" w:bidi="ar"/>
              </w:rPr>
              <w:t xml:space="preserve">1.产品符合GB 32459-2015《</w:t>
            </w:r>
            <w:r>
              <w:rPr>
                <w:rFonts w:ascii="宋体" w:hAnsi="宋体" w:eastAsia="宋体" w:cs="宋体"/>
                <w:b w:val="0"/>
                <w:bCs w:val="0"/>
                <w:i w:val="0"/>
                <w:iCs w:val="0"/>
                <w:color w:val="000000"/>
                <w:sz w:val="22"/>
                <w:szCs w:val="22"/>
                <w:u w:val="none"/>
                <w:lang w:val="en-US" w:eastAsia="zh-CN" w:bidi="ar"/>
              </w:rPr>
              <w:t xml:space="preserve">消防应急救援装备 手动破拆工具通用技术条件</w:t>
            </w:r>
            <w:r>
              <w:rPr>
                <w:rFonts w:hint="eastAsia" w:ascii="宋体" w:hAnsi="宋体" w:eastAsia="宋体" w:cs="宋体"/>
                <w:b w:val="0"/>
                <w:bCs w:val="0"/>
                <w:i w:val="0"/>
                <w:iCs w:val="0"/>
                <w:color w:val="000000"/>
                <w:sz w:val="22"/>
                <w:szCs w:val="22"/>
                <w:u w:val="none"/>
                <w:lang w:val="en-US" w:eastAsia="zh-CN" w:bidi="ar"/>
              </w:rPr>
              <w:t xml:space="preserve">》要求。</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2.整套工具包括：多功能手柄1个，各类工具头≥4个，消防平斧≥2把。重量≤19KG，配备模块化防水工程塑料箱。</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3.手动破拆手柄</w:t>
            </w:r>
            <w:r>
              <w:rPr>
                <w:rFonts w:hint="eastAsia" w:cs="宋体"/>
                <w:b w:val="0"/>
                <w:bCs w:val="0"/>
                <w:i w:val="0"/>
                <w:iCs w:val="0"/>
                <w:color w:val="000000"/>
                <w:sz w:val="22"/>
                <w:szCs w:val="22"/>
                <w:u w:val="none"/>
                <w:lang w:val="en-US" w:eastAsia="zh-CN" w:bidi="ar"/>
              </w:rPr>
              <w:t xml:space="preserve">部分</w:t>
            </w:r>
            <w:r>
              <w:rPr>
                <w:rFonts w:hint="eastAsia" w:ascii="宋体" w:hAnsi="宋体" w:eastAsia="宋体" w:cs="宋体"/>
                <w:b w:val="0"/>
                <w:bCs w:val="0"/>
                <w:i w:val="0"/>
                <w:iCs w:val="0"/>
                <w:color w:val="000000"/>
                <w:sz w:val="22"/>
                <w:szCs w:val="22"/>
                <w:u w:val="none"/>
                <w:lang w:val="en-US" w:eastAsia="zh-CN" w:bidi="ar"/>
              </w:rPr>
              <w:t xml:space="preserve">浸水2h后绝缘电阻≤11.5GΩ。</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4.消防斧平刃应能砍断10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的Q235A圆钢，且刃口无明显卷刃、崩刃和开裂等现象。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5.冲击式破拆器尖刃能凿裂等级为C20的混凝土试块，且刃口无明显卷刃、崩刃和开裂等现象。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6.撬斧尖刃能凿穿厚度1.5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的Q235A钢平板，且刃口无明显卷刃、崩刃和开裂等现象。  </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7.撬斧起撬部位能切割厚度1.5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的Q235A钢平板，且刃口无明显卷刃、崩刃和开裂等现象。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8.手动破拆工具的金属部分经GB/T10125-2021规定的48小时中性盐雾试验后，外观应符合GB 6461-2002外观等级评定轻微伤级的要求。</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9.多功能冲击手柄：冲击行程≤325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10.消防平斧：收缩长度≥460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，最大展开尺寸：≥650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11.多功能手柄连接撬斧拔钉器后总长度≤1210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12.多功能手柄连接金属切割器后总长度≤1210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13.多功能手柄重量≤4.5KG、消防平斧重量≤3.3KG、长尖凿工具头重量≤1.45KG、长平凿工具头重量≤1.5KG、长宽凿工具头重量≤1.8KG、撬斧拔钉器工具头重量≤1.7KG、金属切割器工具头重量≤1.5KG。</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多功能挠钩</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1.挠杆柄采用高强度的绝缘材料，防高压，可多节组合。杆头可更换，简便快捷。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2.12件套：包括长挠杆2根、短挠杆1根（有水平仪）、挠钩、双头挠钩、消防锯、无火花消防锤、撑顶器、消防剪、消防斧、登高钩、爪耙、工兵铲等。</w:t>
            </w:r>
            <w:r>
              <w:rPr>
                <w:rFonts w:hint="eastAsia" w:ascii="宋体" w:hAnsi="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3.组合连接杆：通过杆头螺纹口延长连接，可现场灵活组合相配套破拆工具使用。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水平仪：测量水平。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配备一个能容纳所有工具的装备箱。</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绝缘剪断钳</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1.尺寸大于24寸，重量≤2kg，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2.最大剪切线缆12mm，特性剪刃口硬度HRC55—60，材质绝缘剪柄（橡胶）耐电压5000V</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5"/>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无火花工具</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铜合金制成。符</w:t>
            </w:r>
            <w:r>
              <w:rPr>
                <w:rFonts w:hint="eastAsia" w:ascii="宋体" w:hAnsi="宋体" w:eastAsia="宋体" w:cs="宋体"/>
                <w:i w:val="0"/>
                <w:iCs w:val="0"/>
                <w:color w:val="000000"/>
                <w:sz w:val="22"/>
                <w:szCs w:val="22"/>
                <w:highlight w:val="none"/>
                <w:u w:val="none"/>
                <w:lang w:val="en-US" w:eastAsia="zh-CN" w:bidi="ar"/>
              </w:rPr>
              <w:t xml:space="preserve">合GB/T 10</w:t>
            </w:r>
            <w:r>
              <w:rPr>
                <w:rFonts w:hint="eastAsia" w:ascii="宋体" w:hAnsi="宋体" w:eastAsia="宋体" w:cs="宋体"/>
                <w:i w:val="0"/>
                <w:iCs w:val="0"/>
                <w:color w:val="000000"/>
                <w:sz w:val="22"/>
                <w:szCs w:val="22"/>
                <w:u w:val="none"/>
                <w:lang w:val="en-US" w:eastAsia="zh-CN" w:bidi="ar"/>
              </w:rPr>
              <w:t xml:space="preserve">686-2013《铜合金工具防爆性能试验方法》标准要求。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配置明细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1.活动扳手各≥1把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2.防爆呆扳手≥ 3把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3.防爆梅花扳手≥3把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4.大、小十字螺丝刀各≥1把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5.大、小一字螺丝刀各≥1把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6.防爆管钳≥1把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7.F-扳手≥1把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8.平口扁铲≥1把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9.尖头錾子≥1把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10.平头錾子≥1把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11.木炳铜丝刷≥1把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12.克丝钳≥1把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13.尖嘴钳≥1把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14.手锯≥1把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15.圆头锤≥1把</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多功能刀具</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1.打开：16.1*6.2*2cm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2.闭合：10.5*3.8*2cm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3.重量：≤280g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4.5CR15刀刃+3CR13部件+2CR13钳头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5.不锈钢手柄</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6.喷砂部件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7.喷砂手柄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8.尖头钳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9.常规钳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10.剪线钳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11.小刀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12.锯子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13.锉子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14.5mm大一字螺丝批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15.剪刀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16.4mm中号一字螺丝批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17.开罐器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18.开瓶器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19.3mm小一字螺丝批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20.割绳器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21.打孔器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22.十字螺丝批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23.尺子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24.皮带夹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25.套筒+11*螺丝(H2,H3,H4,H5,H6（六角）；3,5,7（一字螺丝批）；PH1,PH2,PH3（十字螺丝批）</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戒指角磨机</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1.适用于应急救援现场的小型金属、非金属圈、环的切割；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2.充电式电机，电压3.6V，电量1.5AH，带有电源开关，正/反转功能，带有USB充电线，电机扭矩0.2-5牛，电机具有保护功能。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3.配有万向软轴，可在狭小特殊空间实现≥200mm距离切割，可360°万向切割。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4.锯片直径：≥25mm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5.重量：≤2.5KG（含所有配件）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6.时间：1mm戒指，5秒钟内完成。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7.每套配备：合金锯片2张、训练戒指1套、训练假手指1根、固定夹具1套、消毒液1瓶、卡簧钳1个，润滑脂1盒。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8.专用储运箱，中文使用维护保养说明书或U光盘。</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毁锁器</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根据国内各种型号门锁以及各种型号锁芯，选用不低于40cr钢材料制造专用工具，在不损坏防盗门整体结构用于拆卸门锁面板及锁芯，携带方便操作简单快速，可实现15-40s时间内拆卸面板扭断锁芯将防盗门打开，开启90%以上的家用防盗门，搭配辅助工具可以实现开启98%以上的防盗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拆锁夹设计及配置：夹口设计C型咬合口（可调节大小、拆卸面板、拆卸锁芯），内侧设计凹型（拆卸面板起到防滑作用）手柄设计两个U型口（一个为固定型、U型口用于拆卸、全铜锁芯、带钢梁锁芯、全钢锁芯）另一个U型口设计（快拆式螺丝刀、U型口用于拆卸全铜锁芯、螺丝刀头部用于多角度拨动锁体）螺丝刀前端设计不小于8mm平口型，用于转动带钢梁锁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3.配置：电动扳手、手动扳手、宝塔钻头、强开磨具（十字、C级、王力、安防、锁芯强开磨具）、工具箱、透明训练锁具一套。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4.充电式电动扳手：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夹头类型：1/2“方头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转速1/冲击频率1：不小于0-700/0-1400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转速2/冲击频率2：不小于0-1600/0-2200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转速3冲击频率3：不小于0-2800/0-3600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最大扭矩：不小于300NM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电池容量：不小于2.0Ah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充电时间：不大于70min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重量：不大于1.4kg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电池包数量：不小于1。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工具箱尺寸：不大于558*261*100mm、7kg。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透明训练锁具：利用透明硬质塑料板及防盗门锁制作小型模拟防盗门开锁训练器材。</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1.符合GB 27900-2011《消防员呼救器》要求；</w:t>
            </w:r>
            <w:r>
              <w:rPr>
                <w:rFonts w:hint="eastAsia" w:ascii="宋体" w:hAnsi="宋体" w:eastAsia="宋体" w:cs="宋体"/>
                <w:i w:val="0"/>
                <w:iCs w:val="0"/>
                <w:color w:val="000000"/>
                <w:sz w:val="21"/>
                <w:szCs w:val="21"/>
                <w:u w:val="none"/>
                <w:lang w:val="en-US" w:eastAsia="zh-CN" w:bidi="ar"/>
              </w:rPr>
            </w:r>
            <w:r/>
          </w:p>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集呼救器、方位指示灯、温度显示、海拔高度定位、定位互救、无线通信于一体。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3.使用可标注姓名的钥匙开、关机，开机后钥匙保存于后场，可代替现场身份登记。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4.液晶显示重要信息，实时显示工作时间、电池电量、环境温度等信息。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5.具备计时提醒功能，开机15分钟后开始提醒，之后每5分钟提醒一次。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6.具备预报警功能、自动报警功能、手动报警功能和低电压警告功能。</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7.消防员呼救器需具有电池电量检测、显示功能，当电池电量不足时会发出低电量报警。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8.采用免维护高性能防爆锂电池，连续报警时间≥945min，连续工作时间≥24小时。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9.具有温度传感报警，可实时显示环境温度，温度高于设定阈值（80℃）自动报警；可自行设定报警温度为四级。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10.呼救器可进行相互监控，当呼救器出现强报警或手动报警时，其它呼救器有声、光报警；每只呼救器显示报警呼救器（战斗员）的编号。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11.消防员呼救器需具有相对定位搜救功能，可根据同组报警呼救器的信号强度判断搜救方向以及与被搜救者的楼层高度信息。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12.消防员呼救器具有后场软件，可以在手机上登录查看呼救器的基本信息。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13.支持扩展功能：可无线连接心率监测手环、智能电子压力表，屏幕可实时显示空呼压力和动态剩余时间。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14.支持呼救器场外指挥控制管理，支持4G/5G传输数据与消防员呼救器后场接收装置无线连接。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15.支持内置定位功能，可在后场指挥中心实时显示GIS地图位置信息。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16.整机重量≤230g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17.频率误差：发射频率不应大于±1kHz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▲18.频率稳定度：不大于±2.1*10-6</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19.接收灵敏度≤0.28uV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▲20.通信距离≥3000m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21.预报警声级强度≥103dB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22.报警声级强度≥105dB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23.低电压告警声级强度≥85dB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24.发射功率</w:t>
            </w:r>
            <w:r>
              <w:rPr>
                <w:rFonts w:hint="eastAsia" w:ascii="宋体" w:hAnsi="宋体" w:eastAsia="宋体" w:cs="宋体"/>
                <w:i w:val="0"/>
                <w:iCs w:val="0"/>
                <w:color w:val="000000"/>
                <w:sz w:val="22"/>
                <w:szCs w:val="22"/>
                <w:highlight w:val="none"/>
                <w:u w:val="none"/>
                <w:lang w:val="en-US" w:eastAsia="zh-CN" w:bidi="ar"/>
              </w:rPr>
              <w:t xml:space="preserve">≤30dBm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25.具有≥4颗灯的手电筒（辅助照明）功能，在黑暗环境下可提供辅助照明功能。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26.防护等级：IP68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27.本质安全型，防爆等级不低于EX ib IIC T4 Gb</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消防员呼救器后场接收装置 </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6"/>
              </w:numPr>
              <w:jc w:val="left"/>
              <w:keepLines w:val="0"/>
              <w:keepNext w:val="0"/>
              <w:pageBreakBefore w:val="0"/>
              <w:widowControl w:val="off"/>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结构组成：呼救器、含天线、液晶屏、触摸笔1支、充电器2个、车载充电器1个、内置电池。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2.主要应用场景：消防员进入内攻现场使用。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外观及结构：外观整洁，表面无毛刺、划痕、裂纹、变形，表面涂层无气泡、龟裂、脱落，金属零件无锈蚀和机械损伤。产品结构牢固、可靠、安全、便于安装。开关、按键、旋钮的操作灵活可靠，外接附件的接入接触良好、紧固不易松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消防员呼救器后场接收装置功能：将身份识别卡放在刷卡区域，在消防员呼救器后场接收装置系统中能写入身份识别卡信息，能正确读出写好后的每张身份识别卡信息：每组能连接8个人，最多能连接5组40人，能向每个人员</w:t>
            </w:r>
            <w:r>
              <w:rPr>
                <w:rFonts w:hint="eastAsia" w:ascii="宋体" w:hAnsi="宋体" w:eastAsia="宋体" w:cs="宋体"/>
                <w:i w:val="0"/>
                <w:iCs w:val="0"/>
                <w:color w:val="000000"/>
                <w:sz w:val="22"/>
                <w:szCs w:val="22"/>
                <w:u w:val="none"/>
                <w:lang w:val="en-US" w:eastAsia="zh-CN" w:bidi="ar"/>
              </w:rPr>
              <w:t xml:space="preserve">发送撤离命令，每个人员能在2秒内接收到撤离指令，能向所有人员下发撤离命令，所有人员能在2秒内收到撤离命令：指挥员能对某一人发出巡查指令，APP上对应的人处于黄色闪动状态，消防员呼救器有回应显示，主机收到应答信号，APP上黄色闪动的人恢复正常，处于蓝色运动状态；指挥员能对全体人员发出巡查指令，APP上的人处于黄色闪动状态，消防员呼救器有回应显示，主机收到应答信号，APP上黄色闪动的人恢复正常，处于蓝色运动状态；能实时显示消防员呼救器相对于消防员呼救器后场接收装置的高度，消防员呼救器后场接收装置可以校准消防员呼</w:t>
            </w:r>
            <w:r>
              <w:rPr>
                <w:rFonts w:hint="eastAsia" w:ascii="宋体" w:hAnsi="宋体" w:eastAsia="宋体" w:cs="宋体"/>
                <w:i w:val="0"/>
                <w:iCs w:val="0"/>
                <w:color w:val="000000"/>
                <w:sz w:val="22"/>
                <w:szCs w:val="22"/>
                <w:u w:val="none"/>
                <w:lang w:val="en-US" w:eastAsia="zh-CN" w:bidi="ar"/>
              </w:rPr>
              <w:t xml:space="preserve">救器的初始高度值为“0：系统进入分组设置界面能进行编组；分组后，综合显示以小组为单位显示，能下发“全组撤退”指令及“全体撤退”指令：综合显示中，能识别每个在线人员的信号、状态、组别、空呼气压、剩余工作时间、心率、环境参数（环境温度、气体含量）、高度、运动状态（正常运动状态、跌倒预报警状态、跌倒连续报警状态）、呼救器电量工作状态的实时状态；消防员呼救器后场接收装置能录入和编辑40个人员的中文或英文实名；进入系统设置界面能查看每个呼救器的工作历史数据。消防员呼救器后场接收装置采用通信指挥、集中充电为一体的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▲5.传输距离：消防员呼救器与消防员呼救器后场接收装置之间的传输距（空旷地带，无中继）</w:t>
            </w:r>
            <w:r>
              <w:rPr>
                <w:rFonts w:hint="eastAsia" w:ascii="宋体" w:hAnsi="宋体" w:eastAsia="宋体" w:cs="宋体"/>
                <w:i w:val="0"/>
                <w:iCs w:val="0"/>
                <w:color w:val="000000"/>
                <w:sz w:val="22"/>
                <w:szCs w:val="22"/>
                <w:highlight w:val="none"/>
                <w:u w:val="none"/>
                <w:lang w:val="en-US" w:eastAsia="zh-CN" w:bidi="ar"/>
              </w:rPr>
              <w:t xml:space="preserve">≥3km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6.连续工作时间 h：＞10</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7.高温（运行）试验：温度60℃，持续时间：2h，状态；工作。试验中及试验后能正常工作。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▲8.低温（运行）试验：温度：-25℃，持续时间：2h，状态；工作。试验中及试验后能正常工作。</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9.高温贮存试验：温度：70℃，持续时间：24h，恢复时间：12h，状态：非工作。试验后能正常工作。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10.低温贮存试验温度：-40℃，持续时间：24h，恢复时间：12h，状态，非工作。试验后能正常工作。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13、交变湿热试验：①温度：（25 士 3）℃～（40 士 2）℃，湿度：95%～100%，持续时间：3h，②温度：（40±2）℃，湿度：（93 士 3）%，持续时间：9h,③温度：（40 士 2）～（25±3）℃，湿度：95%～100%，持续时间：12h,状态：非工作。试验后能正常工作。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11.自由跌落试验：跌落高度：0.6m，跌落方向：3轴线方向，每轴向次数：1次，状态：非工作。试验后，功能正常，壳体完好。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12.外壳防护等级≥IP67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13.振动试验：频率范围：（10～150）Hz，加速度幅值：1g，扫描速率：1（倍频程/min）,3 轴线方向，每轴线循环20次，状态：非工作。试验后能正常工作。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14.绝缘电阻：在正常使用环境条件下，消防员呼救器后场接收装置正负电极与外壳之间：&gt;550MΩ，湿热试验后，消防员呼救器后场接收装置正负电极与外壳之间：55OMΩ。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15.静电放电抗扰度试验：接触放电：4kV，空气放电：8kV，状态：工作。试验后能正常工作。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16.射频电磁场辐射抗扰度试验：频率范围：8OMHz1GHz，场强：10V/m，调制幅度：80%(1KHz，正弦）,状态：工作。试验中功能正常。</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一级化学防护服</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suppressLineNumbers w:val="0"/>
            </w:pPr>
            <w:r>
              <w:rPr>
                <w:rFonts w:hint="eastAsia" w:ascii="宋体" w:hAnsi="宋体" w:eastAsia="宋体" w:cs="宋体"/>
                <w:i w:val="0"/>
                <w:iCs w:val="0"/>
                <w:color w:val="000000"/>
                <w:sz w:val="22"/>
                <w:szCs w:val="22"/>
                <w:u w:val="none"/>
                <w:lang w:val="en-US" w:eastAsia="zh-CN" w:bidi="ar"/>
              </w:rPr>
              <w:t xml:space="preserve">1.符合XF 770-2008《消防员化学防护服装》要求。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2.产品认证实施规则：CCCF-CPRZ-27:2019。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3.全套服装采用全密封连体式结构，由大视窗的连体头罩、化学防护服、呼吸器背囊、空呼保护垫、防护手套、防护靴、排气阀、通风系统分配阀及通气管路等部分组成。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面料采用内外对称结构、高阻隔多元共混橡胶制作而成，具有广谱高效的化学防化性能和耐热老化、低温柔软等性能。阻燃性能好，遇火只产生炭化，不熔滴。为可重复使用的化学防护服。防化服接缝处采用内外双层防化贴条处理，超声波焊接及热风加强型接缝设计，界面无缝贴附融为一体，有效提高防护性能。内部设计通风排湿系统。</w:t>
            </w:r>
            <w:r/>
          </w:p>
          <w:p>
            <w:pPr>
              <w:pStyle w:val="663"/>
              <w:numPr>
                <w:ilvl w:val="0"/>
                <w:numId w:val="0"/>
              </w:numPr>
              <w:jc w:val="left"/>
              <w:keepLines w:val="0"/>
              <w:keepNext w:val="0"/>
              <w:pageBreakBefore w:val="0"/>
              <w:widowControl w:val="off"/>
              <w:suppressLineNumbers w:val="0"/>
            </w:pPr>
            <w:r>
              <w:rPr>
                <w:rFonts w:hint="eastAsia" w:ascii="宋体" w:hAnsi="宋体" w:eastAsia="宋体" w:cs="宋体"/>
                <w:i w:val="0"/>
                <w:iCs w:val="0"/>
                <w:color w:val="000000"/>
                <w:sz w:val="22"/>
                <w:szCs w:val="22"/>
                <w:u w:val="none"/>
                <w:lang w:val="en-US" w:eastAsia="zh-CN" w:bidi="ar"/>
              </w:rPr>
              <w:t xml:space="preserve">▲5.整体气密性/Pa：≤300；贴条的粘附强度/kN/m：≥0.78；超压排气阀：气密性/s：≥15；通气阻力/Pa：78～118；通风系统分配阀：定量供气量5±1L/min，手控最大供气量≥30L/min；整套重量≤8kg。</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6.面料性能：阻燃性能，有焰燃烧时间≤3s，无焰燃烧时间≤1s，经纬向损毁长度≤8cm；经纬向拉伸强度≥25kN/m；经纬向撕裂强力≥110N；接缝强力≥1000N；耐热老化性能（125℃×24h）不粘、不脆。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7.化学防护手套耐热老化性能（125℃×24h）：不粘、不脆；耐寒性能：无裂纹；耐刺穿力≥25N；手套灵巧性能≥5级；可拆卸更换。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化学防护靴采用航空铝包头结构，具有抗砸、防穿刺性能，可拆卸更换。靴底抗刺穿力≥2000N；电绝缘性能：击穿电压≥5000V，泄露电流≤0.5mA；防滑性能：始滑角≥15°；防砸性能：静压力试验和冲击试验后间隙高度≥18mm。</w:t>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9.面料及其接缝部位、化学防护手套、化学防护靴、大视窗连体头罩抗化学品渗透性能：渗透时间/min：二甲基硫酸盐≥70min、氨气≥70min、氯气≥70min、氰氯化物≥70min、羰基氯化物≥70min、氢氰化物≥70min。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大视窗面屏采用高强耐冲击透明工程材料制作，双层结构防雾保明设计，内层采用改性纳米技术集成防雾及防化功能于一体，外层面屏为内层面屏保护层，提供耐磨防擦伤功能，可实现长效的防雾保明，方便救援工作。面屏抗刺穿力≥300N。</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90"/>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电绝缘装具</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1.符合DL/T 1125-2009《10KV 带电作业用绝缘服装》标准要求。绝缘靴符合GB 21148-2020《足部防护 安全鞋》标准要求，绝缘手套符合GB/T 17622-2008《带电作业用绝缘手套》标准要求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2.适用于消防员在额定电压为10KV及以下带电类火灾事故现场进行抢险救援时使用的防护服装。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3.电绝缘装具包含电绝缘服、绝缘靴、绝缘手套组成。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4.电绝缘服由三层结构复合制成，外层和里层为阻燃橡胶布、中间层为高分子绝缘膜。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5.电绝缘手套为经特殊处理天然橡胶制成，质地柔软，采用五指设计。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6.电绝缘靴采用高压橡胶制成。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表层拉伸强度：平均值≥20Mpa，最低值≥平均值的95%。表层抗机械刺穿：平均值≥50N，最低值≥平均值的98%。表层抗撕裂：平均值≥150N，最低值≥平均值的98%。电气性能：交流电压以1000V/S的速度上升至20KV，保持1min后，应无闪络、击穿、发热现象。绝缘手套耐电压≥12KV。GB</w:t>
            </w:r>
            <w:r>
              <w:rPr>
                <w:rFonts w:hint="eastAsia" w:ascii="宋体" w:hAnsi="宋体" w:cs="宋体"/>
                <w:i w:val="0"/>
                <w:iCs w:val="0"/>
                <w:color w:val="000000"/>
                <w:sz w:val="22"/>
                <w:szCs w:val="22"/>
                <w:u w:val="none"/>
                <w:lang w:val="en-US" w:eastAsia="zh-CN" w:bidi="ar"/>
              </w:rPr>
              <w:t xml:space="preserve">/T </w:t>
            </w:r>
            <w:r>
              <w:rPr>
                <w:rFonts w:hint="eastAsia" w:ascii="宋体" w:hAnsi="宋体" w:eastAsia="宋体" w:cs="宋体"/>
                <w:i w:val="0"/>
                <w:iCs w:val="0"/>
                <w:color w:val="000000"/>
                <w:sz w:val="22"/>
                <w:szCs w:val="22"/>
                <w:u w:val="none"/>
                <w:lang w:val="en-US" w:eastAsia="zh-CN" w:bidi="ar"/>
              </w:rPr>
              <w:t xml:space="preserve">17622-2008《带电作业用绝缘手套》</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绝缘靴耐电压≥25KV。GB 21148-2020《足部防护 安全鞋》。</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消防用红外热像仪</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1.结构组成：主机，电池2块，充电器，肩带，携行箱等。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2.主要适用场景：消防用红外热像仪能够在黑暗、浓烟环境中人员搜救或火源寻找。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3.符合XF/T 635-2023 《消防用红外热像仪》标准要求。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4.防爆认证等级≥EX ic ⅡC T3 Gc</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5.采样帧速率≥25帧/秒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6.探测器像素：≥380*280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7.工作波段：8μm—14μm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8.一般工作温度：-20℃～+60℃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9.特定工作温度：50℃—260℃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10.工作环境湿度：≤95%（40℃）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11.存贮环境温度：-40℃～+70℃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显示功能：具有白热、黑热、搜救、热扫描、可见光、标准模式、火场、冷驱扫描等，≥8种。具有温度测量值、电池耗量、温度标尺,超温、拍照或摄像状态显示功能低电量报警功能：应具有声或光报警或低电量提示功能，图像降噪功能，拍照或摄像及存储功能，照片或录像的回放功能，单点或多点温度显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13.操作提示功能：具备中文的操作菜单或提示功能。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14.质量：≤2kg（包括电池）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15.空间分辨力：≤3mrad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16.噪声等效温差（NETD）：≤50mK</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17.测温范围：-20℃～1000℃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18.测温精度：在100℃以内（包含100℃）应控制在±2℃以内（包含±2 ℃）,在 100℃以上应控制在测量值（℃）的±2%以内（包含±2%）。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19.温度漂移：在不同环境温度工作时对黑体温度测量值的漂移量≤2 ℃（黑体设定温度不大于100℃时）或黑体设定温度的2%（黑体设定温度大于100℃时）。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20.连续稳定工作时间：≥2h。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▲21.特定环境温度持续工作时间：80℃时≥30min，120℃时≥10min，260℃时≥5min。</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22.抗跌落性能：以三个方向（*、Y、Z）从1米高度自由跌落到混凝土地面一次后可正常工作（外壳配件可更换）。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23.外壳防护等级：≥IP67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24.显示屏≥3.5英寸，支持屏幕亮度自动调节。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25.存储功能：支持在本机实时查看拍摄保存的图片和视频。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26.具有工作指示灯功能、激光指示功能。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27.具备最高温、最低温和中心点测温功能；具备冷热点追踪功能，全屏最高温及最低温自动指针搜寻功能，可同时显示最高及最低温度。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28.供电方式：锂电池供电，主机具备电量显示功能，为保证续航，配备2块电池，单块电池工作时间：≥5h。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29.配有加速度传感器，待机状态下，轻触机身可快速复位。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30.视场角：水平方向≥ 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31.可存储2000张图片和10小时视频。</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消防水带65mm</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，内径≥63.5mm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5.单位长度质量≤234g/m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6.工作压力：1.6MPa，爆破压力≥5.48MPa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7.延伸率≤1.6%，膨胀率≤4.6%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▲8.水带织物层与衬里之间的附着强度≥70N/25mm。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9.扯断伸长率≥463%，扯断强度≥51.5MPa。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11.每盘水带接口处绑扎不少于5道*3道铁丝，测试压力32公斤时不脱口、不渗漏。水带和接口捆绑处有专用的保护套保护。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常压80mm水带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7"/>
              </w:numPr>
              <w:jc w:val="left"/>
              <w:keepLines w:val="0"/>
              <w:keepNext w:val="0"/>
              <w:pageBreakBefore w:val="0"/>
              <w:widowControl w:val="off"/>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，内径≥76mm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5.单位长度质量≤300g/m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6.工作压力：1.6MPa，</w:t>
            </w:r>
            <w:r>
              <w:rPr>
                <w:rFonts w:hint="eastAsia" w:ascii="宋体" w:hAnsi="宋体" w:eastAsia="宋体" w:cs="宋体"/>
                <w:i w:val="0"/>
                <w:iCs w:val="0"/>
                <w:color w:val="000000"/>
                <w:sz w:val="22"/>
                <w:szCs w:val="22"/>
                <w:highlight w:val="none"/>
                <w:u w:val="none"/>
                <w:lang w:val="en-US" w:eastAsia="zh-CN" w:bidi="ar"/>
              </w:rPr>
              <w:t xml:space="preserve">爆破压力≥6.8MPa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7.延伸率≤2.4%，膨胀率≤4.7%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▲8.水带织物层与衬里之间的附着强度≥71N/25mm。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9.扯断伸长率≥455.9%，扯断强度≥54.4MPa。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11.每盘水带接口处绑扎不少于5道*3道铁丝，测试压力24公斤时不脱口、不渗漏。水带和接口捆绑处有专用的保护套保护。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高压80mm水带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内径≥76mm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5.单位长度质量≤348g/m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6.工作压力：2.0MPa，</w:t>
            </w:r>
            <w:r>
              <w:rPr>
                <w:rFonts w:hint="eastAsia" w:ascii="宋体" w:hAnsi="宋体" w:eastAsia="宋体" w:cs="宋体"/>
                <w:i w:val="0"/>
                <w:iCs w:val="0"/>
                <w:color w:val="000000"/>
                <w:sz w:val="22"/>
                <w:szCs w:val="22"/>
                <w:highlight w:val="none"/>
                <w:u w:val="none"/>
                <w:lang w:val="en-US" w:eastAsia="zh-CN" w:bidi="ar"/>
              </w:rPr>
              <w:t xml:space="preserve">爆破压力≥7.6MPa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7.延伸率≤2.9%，膨胀率≤5.9%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▲8.水带织物层与衬里之间的附着强度≥71N/25mm。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 扯断伸长率≥458.4%，扯断强度≥55.8MPa。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10.接口的弹簧疲劳寿命大于10000次以上，在3.0MPa水压下不应发生渗漏现象。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11.每盘水带接口处绑扎不少于5道*3道铁丝，测试压力24公斤时不脱口、不渗漏。水带和接口捆绑处有专用的保护套保护。</w:t>
            </w:r>
            <w:r>
              <w:rPr>
                <w:rFonts w:hint="eastAsia" w:ascii="宋体" w:hAnsi="宋体" w:eastAsia="宋体" w:cs="宋体"/>
                <w:sz w:val="21"/>
                <w:szCs w:val="21"/>
                <w:vertAlign w:val="baseline"/>
                <w:lang w:val="en-US" w:eastAsia="zh-CN" w:bidi="ar-SA"/>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常压40mm水带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1.水带符合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3.衬里采用聚氨酯制作而成。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内径：≥38mm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5.单位长度质量≤167g/m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6.工作压力：2.5MPa，爆破压力≥9.3MPa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7.轴向延伸率≤0.9%，直径膨胀率≤5%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▲8.水带织物层与衬里之间的附着强度≥75N/25mm。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9.水带扯断伸长率≥486%，水带扯断强度≥57MPa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10.接口采用铝合金锻造而成的卡式快速接口。</w:t>
            </w:r>
            <w:r>
              <w:rPr>
                <w:rFonts w:hint="eastAsia" w:ascii="宋体" w:hAnsi="宋体" w:eastAsia="宋体" w:cs="宋体"/>
                <w:sz w:val="21"/>
                <w:szCs w:val="21"/>
                <w:vertAlign w:val="baseline"/>
                <w:lang w:val="en-US" w:eastAsia="zh-CN" w:bidi="ar-SA"/>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直流水枪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1.水枪符合GB 8181-2005《消防水枪》标准要求。</w:t>
            </w:r>
            <w:r>
              <w:rPr>
                <w:rFonts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枪管采用高强度铝镁合金锻造成型，选用铝镁合金A6061材质，材料经高温热处理使材质性能达到最优，表面黑色硬质氧化防腐处理。阀体：采用压铸工艺，选用YL112材质。手柄：采用锻造工艺，选用铝镁合金A6061材质</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表面阳极氧化防腐处理带有蓝色保护胶套。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3.用于扑救一般固体物质火灾，以及可以使用A类泡沫灭火时的辅助冷却等。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4.进水口为 65 快速接口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5.每分钟出水流量≥7.0(L/s)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6.重量≤7</w:t>
            </w:r>
            <w:r>
              <w:rPr>
                <w:rFonts w:hint="eastAsia" w:ascii="宋体" w:hAnsi="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t xml:space="preserve">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7.开关力矩≤4.0N/m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8.射程≥32米。</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浮挺泵</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1.浮艇泵符合GB 6245-2006《消防泵》要求。 </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2.浮挺泵配有四个集成手柄使泵便于搬运，也可用于拴绑固定绳索，防止泵漂走；</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3.发动机类型：功率≥4.0kW，单杠、风冷、四冲程，最大扬程≥30米，最大流量≥1200升/分钟。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4.额定流量≥10.0L/s，额定压力≥0.150MPa，最大流量≥20.0L/s。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5.吸水口：带有可拆卸不锈钢滤网，可过滤直径大于10毫米的异物。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6.出水口：1个，直径≥65。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7.自带油箱容量≥1.0升，附加油箱容量≥3.8升；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8.设备尺寸≤720*620*410mm，净重≤25公斤。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vMerge w:val="restart"/>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sz w:val="21"/>
                <w:szCs w:val="21"/>
                <w:vertAlign w:val="baseline"/>
              </w:rPr>
            </w:r>
            <w:r/>
          </w:p>
        </w:tc>
        <w:tc>
          <w:tcPr>
            <w:tcW w:w="1125" w:type="dxa"/>
            <w:vAlign w:val="center"/>
            <w:vMerge w:val="restart"/>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多功能消防水枪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65口径多功能水枪</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1.流量：10升/秒（600升/分）。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2.具有直流/开花/喷雾功能，最大喷雾角不小于120°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▲3.5档出水流量调节，分别是（2.5-4-6.5-8-10）升/秒；</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4.具备冲洗功能，使用后调至冲洗档位即可对消防枪内部进行冲洗。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5.消防枪配置旋转雾化齿，工作时雾化齿360°不间断旋转切割水雾，增大灭火面积，提高降温速度，达到最佳灭火效果。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6.操作简便，只需要转动枪头90°即可实现从直流到喷雾的完全切换。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7.枪头上配有人体工程学凸点，既便于工作模式切换，也保证即使在视线不好时，也知道水枪的实时工作状态，凸点向上表示直流位置。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8.采用U型手柄，工程材质球阀开关，有一定的自修复功能。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9.水带接口可以360°无限旋转，有效防止水带打结。</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65口径</w:t>
            </w:r>
            <w:r>
              <w:rPr>
                <w:rFonts w:hint="eastAsia" w:ascii="宋体" w:hAnsi="宋体" w:eastAsia="宋体" w:cs="宋体"/>
                <w:i w:val="0"/>
                <w:iCs w:val="0"/>
                <w:color w:val="000000"/>
                <w:sz w:val="21"/>
                <w:szCs w:val="21"/>
                <w:u w:val="none"/>
                <w:lang w:val="en-US" w:eastAsia="zh-CN" w:bidi="ar"/>
              </w:rPr>
            </w:r>
            <w:r/>
          </w:p>
        </w:tc>
      </w:tr>
      <w:tr>
        <w:trPr/>
        <w:tc>
          <w:tcPr>
            <w:tcW w:w="864" w:type="dxa"/>
            <w:vAlign w:val="center"/>
            <w:vMerge w:val="continue"/>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25" w:type="dxa"/>
            <w:vAlign w:val="center"/>
            <w:vMerge w:val="continue"/>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40口径多功能水枪：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1.水带连接接口可为 40内扣/65 快速等多种接口。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2.在喷射压力为6公斤时，射程为 28 米，流量挡位为2档：2.5/4.0L/S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3.喷雾角最小调节范围（°）0～120</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4.枪头喷射模式可通过旋转枪头调节直流，半喷雾，喷雾。</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40口径</w:t>
            </w: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空气充填泵</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1.供气量：≥320L/min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2.压缩级数：3级压缩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3.电机功率：≤7.5kW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4.充气压力：≥320BAR</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5.二级独立式油水分离器。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t xml:space="preserve">对压缩机的气体中含有氧气、一氧化碳、二氧化碳、露点、油雾气与颗粒物、异味的</w:t>
            </w:r>
            <w:r>
              <w:rPr>
                <w:rFonts w:hint="eastAsia" w:ascii="宋体" w:hAnsi="宋体" w:eastAsia="宋体" w:cs="宋体"/>
                <w:i w:val="0"/>
                <w:iCs w:val="0"/>
                <w:color w:val="000000"/>
                <w:sz w:val="22"/>
                <w:szCs w:val="22"/>
                <w:highlight w:val="none"/>
                <w:u w:val="none"/>
                <w:lang w:val="en-US" w:eastAsia="zh-CN" w:bidi="ar"/>
              </w:rPr>
              <w:t xml:space="preserve">空气质量符合GB/T 31975-2015</w:t>
            </w:r>
            <w:r>
              <w:rPr>
                <w:rFonts w:hint="eastAsia" w:ascii="宋体" w:hAnsi="宋体" w:cs="宋体"/>
                <w:i w:val="0"/>
                <w:iCs w:val="0"/>
                <w:color w:val="000000"/>
                <w:sz w:val="22"/>
                <w:szCs w:val="22"/>
                <w:highlight w:val="none"/>
                <w:u w:val="none"/>
                <w:lang w:val="en-US" w:eastAsia="zh-CN" w:bidi="ar"/>
              </w:rPr>
              <w:t xml:space="preserve">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7.两个级间安全阀，一个末级安全阀，避免超压使用，末级安全阀可以通过旋钮式调压方式设定充气压力。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8.采用PLC控制及触摸屏显示，中文操作界面，全自动控制功能，软件管理。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9.具有智能型模块化充气管理软件：人员管理/充气管理/气瓶管理/压缩机管理/输出管理，</w:t>
            </w:r>
            <w:r>
              <w:rPr>
                <w:rFonts w:hint="eastAsia" w:ascii="宋体" w:hAnsi="宋体" w:cs="宋体"/>
                <w:i w:val="0"/>
                <w:iCs w:val="0"/>
                <w:color w:val="000000"/>
                <w:sz w:val="22"/>
                <w:szCs w:val="22"/>
                <w:highlight w:val="none"/>
                <w:u w:val="none"/>
                <w:lang w:val="en-US" w:eastAsia="zh-CN" w:bidi="ar"/>
              </w:rPr>
              <w:t xml:space="preserve">远程</w:t>
            </w:r>
            <w:r>
              <w:rPr>
                <w:rFonts w:hint="eastAsia" w:ascii="宋体" w:hAnsi="宋体" w:eastAsia="宋体" w:cs="宋体"/>
                <w:i w:val="0"/>
                <w:iCs w:val="0"/>
                <w:color w:val="000000"/>
                <w:sz w:val="22"/>
                <w:szCs w:val="22"/>
                <w:highlight w:val="none"/>
                <w:u w:val="none"/>
                <w:lang w:val="en-US" w:eastAsia="zh-CN" w:bidi="ar"/>
              </w:rPr>
              <w:t xml:space="preserve">数据化。</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lang w:val="en-US" w:eastAsia="zh-CN" w:bidi="ar"/>
              </w:rPr>
              <w:t xml:space="preserve">）人员管理模块：实现具有资质充气人员的资质管理和充气人员权限管理，登录操作界面可以通过打卡、刷脸、指纹或者密码方式进入，其他人员不能随意登录。</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2"/>
                <w:szCs w:val="22"/>
                <w:highlight w:val="none"/>
                <w:u w:val="none"/>
                <w:lang w:val="en-US" w:eastAsia="zh-CN" w:bidi="ar"/>
              </w:rPr>
              <w:t xml:space="preserve">）充气管理模块：应能实现管理软件判定不合格气瓶及违规充气数据化记录，应能为合规化充气管理提供溯源性数据记录。</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2"/>
                <w:szCs w:val="22"/>
                <w:highlight w:val="none"/>
                <w:u w:val="none"/>
                <w:lang w:val="en-US" w:eastAsia="zh-CN" w:bidi="ar"/>
              </w:rPr>
              <w:t xml:space="preserve">）气瓶管理模块：实现了气瓶出厂年限、水压检测周期、保管人员、所属站室存放的数字化管理，气瓶电子标签通过RFID自动扫描识别，管理软件自动逻辑判断气瓶充气的合格性，为合规化充气管理提供溯源数据，同时具有气瓶水压检测到期提醒功能。</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2"/>
                <w:szCs w:val="22"/>
                <w:highlight w:val="none"/>
                <w:u w:val="none"/>
                <w:lang w:val="en-US" w:eastAsia="zh-CN" w:bidi="ar"/>
              </w:rPr>
              <w:t xml:space="preserve">）压缩机管理模块：采用西门子PLC控制功能，中文操作界面，对压缩机具有运行数据显示、设定和保护模块。</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2"/>
                <w:szCs w:val="22"/>
                <w:highlight w:val="none"/>
                <w:u w:val="none"/>
                <w:lang w:val="en-US" w:eastAsia="zh-CN" w:bidi="ar"/>
              </w:rPr>
              <w:t xml:space="preserve">）输出管理模块：应具有报警数据自动打印输出和短信或微信提醒功能，每只气瓶充气完毕后应具有充气人员信息、充气时间和水压试验周期信息标签打印功能，同时具有查询功能。</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2"/>
                <w:szCs w:val="22"/>
                <w:highlight w:val="none"/>
                <w:u w:val="none"/>
                <w:lang w:val="en-US" w:eastAsia="zh-CN" w:bidi="ar"/>
              </w:rPr>
              <w:t xml:space="preserve">）远传功能（手机APP或PC端）：由智能物联网触摸屏通过WIFI远传到APP，可通过手机（电脑）操作、显示界面与触控屏操作同步进行远程操控。</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10.两工位防爆箱采用双层结构：外箱采用双层5mm钢板制成，内箱中两个碳纤维瓶放置位置单独隔开，中间采用5mm钢板分割，前侧采用3mm钢板。门采用5mm钢板制成，防爆充气箱和人员间的钢板厚度为10mm。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11.具有开门连锁、关门自锁功能。</w:t>
            </w:r>
            <w:r>
              <w:rPr>
                <w:rFonts w:hint="eastAsia" w:ascii="宋体" w:hAnsi="宋体" w:eastAsia="宋体" w:cs="宋体"/>
                <w:sz w:val="21"/>
                <w:szCs w:val="21"/>
                <w:highlight w:val="none"/>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双轮异向切割锯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人工操作前端握持手柄和后端开关手柄的间距为350mm-400mm之间。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整机质量≤18kg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破拆性能：切割深度≥110mm；切割速度≥150</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手持式钢筋速断器</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ascii="宋体" w:hAnsi="宋体" w:eastAsia="宋体" w:cs="宋体"/>
                <w:sz w:val="21"/>
                <w:szCs w:val="21"/>
                <w:vertAlign w:val="baseline"/>
                <w:lang w:val="en-US"/>
              </w:rPr>
              <w:suppressLineNumbers w:val="0"/>
            </w:pPr>
            <w:r>
              <w:rPr>
                <w:rFonts w:hint="eastAsia" w:ascii="宋体" w:hAnsi="宋体" w:eastAsia="宋体" w:cs="宋体"/>
                <w:i w:val="0"/>
                <w:iCs w:val="0"/>
                <w:color w:val="000000"/>
                <w:sz w:val="22"/>
                <w:szCs w:val="22"/>
                <w:u w:val="none"/>
                <w:lang w:val="en-US" w:eastAsia="zh-CN" w:bidi="ar"/>
              </w:rPr>
              <w:t xml:space="preserve">1.电压≥28V 5.6AH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2.净重≤11.5KG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3.空载功率（W）≥140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4.切断速度：3-5.5S （切25mm钢筋5.5s）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5.开口距离≥27mm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6.最大切割能力：≥20mm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7.最大剪切力≥251KN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8.配备：主机1台、充电器1个、锂电池2块、辅助手柄1个，专用扳手1个、备用油壶1瓶，专用工具箱1个.</w:t>
            </w:r>
            <w:r>
              <w:rPr>
                <w:rFonts w:ascii="宋体" w:hAnsi="宋体" w:eastAsia="宋体" w:cs="宋体"/>
                <w:sz w:val="21"/>
                <w:szCs w:val="21"/>
                <w:vertAlign w:val="baseline"/>
                <w:lang w:val="en-US"/>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声呐探测仪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1.产品配置高清综合声呐探头，具有下扫/侧扫、传统扫描功能，配有安装套件，可在冲锋舟上安装。提供非常清晰的标。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2.声纳主机液晶触摸屏尺寸≥7英寸，具有多点触摸和按键选择双操作方式。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3.多分屏显示，支持同时查看多个画面，可独立控制，也可任意设置组合界面。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4.显示水深、水温、量程、时间、定位，2个微型SD数据卡插槽，64G存储内存，支持声呐结构扫描录制，可回放查看分析。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▲5.声呐探测量程：侧扫距离量程深度150m，下扫距离量程深度150m。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6.内置GPS天线、全球简易海图、显示模式为北向上、GPS警报、航点储存数量5000个、航线储存数量100条。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7.内置1个microSD存储卡槽，最小支持64GB，可查看声呐历史数据回放。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8.声呐具有导航定位功能及GPS警报功能。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9.配置12V、100AH锂电池电源。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10.整套设备配置专业运输箱，防护指数：IP67,防水、防尘、防震、抗摔。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11.具有永久性标志及产品数据标识。</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5G单兵</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1.结构组成：主机、电池、背夹、数据线、安全箱。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2.主要应用场景：用于消防员灭火救援作业中移动过程中的视频传输。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▲3.要求支持双摄像头采集、双MIC输入、双TF卡存储、双SIM卡传输、双外接天线；</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4.配置要求支持Android11以上操作系统、8核CPU、主频不低于2.6Ghz，RAM≥4GB，ROM≥64GB，外接存储支持2*512GB。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5.视频压缩支持H.264或H.265，在两种压缩格式下，主副摄像头分辨率要求支持1920*1080、1280*720、640*480，主摄像头水平中心分辨力要求≥1300TVL、副摄像头水平中心分辨力要求≥600TVL，帧率1-30帧可调。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6.支持HDMI外接视频输入，分辨率支持1920*1080、1280*720；支持TYPE-C接口充电及传输数据。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7.屏幕尺寸≥4.6英寸，分辨率不低于720*1280。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8.外壳防护等级支持IP68。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9.支持接入中国移动、中国电信、中国联通4G、5G网络。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▲10.在开机状态下，6min内更换电池设备原工作状态不变，且数据不丢失；</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11.支持裸机跌落，设备开机状态下，在垂直2000mm水泥地面6个面各跌落2次，设备能正常工作。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12.外观尺寸≤180×80×40(mm) ，重量≤460克。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13.支持双码流输出，双码流参数可独立设置。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14.支持红蓝绿三色指示欠压、充电、充满指示，支持低电量报警。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15.支持在联网状态下与平台、其他设备进行群组对讲。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16.支持远程发送文字、图片、语音、视频短片，支持接收远程平台下发的定位及警情信息。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18.具备开关机、旋转、菜单、翻页+/-、PTT、对讲、SOS、拍照、录像、等按键。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★19.可无缝接入江苏省消防救援总队互联网图像管理平台和消防救援局图像综合管理平台。</w:t>
            </w:r>
            <w:r>
              <w:rPr>
                <w:rFonts w:hint="eastAsia" w:ascii="宋体" w:hAnsi="宋体" w:eastAsia="宋体" w:cs="宋体"/>
                <w:b/>
                <w:bCs/>
                <w:i w:val="0"/>
                <w:iCs w:val="0"/>
                <w:color w:val="000000"/>
                <w:sz w:val="22"/>
                <w:szCs w:val="22"/>
                <w:highlight w:val="none"/>
                <w:u w:val="none"/>
                <w:lang w:val="en-US" w:eastAsia="zh-CN" w:bidi="ar"/>
              </w:rPr>
              <w:t xml:space="preserve">（提供承诺书，格式自拟）</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20.设备工作温度-2</w:t>
            </w:r>
            <w:r>
              <w:rPr>
                <w:rFonts w:hint="eastAsia" w:ascii="宋体" w:hAnsi="宋体" w:eastAsia="宋体" w:cs="宋体"/>
                <w:i w:val="0"/>
                <w:iCs w:val="0"/>
                <w:color w:val="000000"/>
                <w:sz w:val="22"/>
                <w:szCs w:val="22"/>
                <w:u w:val="none"/>
                <w:lang w:val="en-US" w:eastAsia="zh-CN" w:bidi="ar"/>
              </w:rPr>
              <w:t xml:space="preserve">0℃至60℃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21.附件包含如下：安全箱；座充（可同时给主机和电池充电）\随主机配备背夹\数据线\天线。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22.持续工作时间不低于6h。</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5G球机</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8"/>
              </w:numPr>
              <w:jc w:val="left"/>
              <w:keepLines w:val="0"/>
              <w:keepNext w:val="0"/>
              <w:pageBreakBefore w:val="0"/>
              <w:widowControl w:val="off"/>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结构组成：布控球主机、防护箱、托盘、三脚支架、蓝牙耳机、充电线、球机安全绳、有线手咪和车载充电器。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2.主要应用场景：用于消防员灭火救援作业现场图像实时传输。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3.产品要求具备双电源接口，1报警输入和1报警输出接口，双TF卡，4G+5G卡位，双扬声器、具备debug接口及复位按钮。</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4.支持近距离红外补光，远距离激光补光，可看清距样机100m处人体轮廓，补光角度：激光：≤15°，红外：≤60°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▲5.内置双扬声器，可自定义文本转语音播报，样机可外接有线手咪或无线蓝牙手咪，支持双向语音，支持集群对讲。</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▲6.设备要求支持在-30～60℃下能正常工作；</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-2009中表1规定的交流电的抗电强度试验，历时1min应无击穿和飞弧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8.设备外壳防护符合GB/T4208-2017中IP66的规定，带包装跌落高度1.5m跌落后，设备能正常工作。</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9.产品尺寸直径≤200mm，高度≤300mm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10.云台支持水平360°连续转动、垂直-20°～90°转动，水平转速≥120°/s，垂直转速≥30°/s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11.支持变倍控制、隐私区域遮挡、支持3D定位。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12.编码算法支持H.264和H.265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13.要求支持视频双码流，双码流规格均支持1920×1080/1280*720/640*480，帧率1-30帧/秒可调，码流64kbps～10Mbps可设置。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14.支持图片抓拍，抓拍图片支持保存到本地或上传到服务器，且可在本地检索回放，图片分辨率支持1920×1080/1280*720/640*480。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15.支持在输出的图像中叠加中文文字和符号信息，信息至少包括：时间、经纬度、名称等。支持根据分辨率适配字体大小：VGA：32*32、720P：48*48、1080P：64*64。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网络通信功能：支持5G、4G通信；支持Wi-Fi通信、AP热点通信，可通过手动或语音切换Wi-Fi与AP热点模式；支持以太网，10/100自适应全双工模式；支持蓝牙通信，可搜索蓝牙设备列表选择配对，并可保存配对信息和自动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17.可持双TF卡存储，单卡最大可支持512GB，存储格式具有流式文件和电脑通用文件格式可选，存储的录像文件支持通过有线和无线方式导出。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19.设备采用宽电源设计，DC8V-36V范围内，样机可正常工作，并支持ACC信号开关机；设备自带液晶显示屏，支持查看当前拨号、电量、网络、录像、定位和存储状态。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支持远程配置设备参数，包括视频参数、网络参数、音频参数、定位参数、远程升级和恢复出厂设置等。支持通过手机连接样机AP热点，并可实现预览视频，双向语音对讲，录像查询、回放，以及视频/网络/音频/定位等参数配置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设备电池支持在1920×1080,25帧/s并开启本地录像条件下，连续工作时间≥12h，支持电池电量的显示值可以1%的精度递增或递减，支持通过语音、蜂鸣器、指示灯方式提示低电压报警，并支持报警时间上传至服务器。</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★22.可无缝接入江苏省消防救援总队互联网图像管理平台和部局图像综合管理平台。</w:t>
            </w:r>
            <w:r>
              <w:rPr>
                <w:rFonts w:hint="eastAsia" w:ascii="宋体" w:hAnsi="宋体" w:eastAsia="宋体" w:cs="宋体"/>
                <w:b/>
                <w:bCs/>
                <w:i w:val="0"/>
                <w:iCs w:val="0"/>
                <w:color w:val="000000"/>
                <w:sz w:val="22"/>
                <w:szCs w:val="22"/>
                <w:highlight w:val="none"/>
                <w:u w:val="none"/>
                <w:lang w:val="en-US" w:eastAsia="zh-CN" w:bidi="ar"/>
              </w:rPr>
              <w:t xml:space="preserve">（提供承诺书，格式自拟）</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23.设备配套应具以下附件：箱子1个、电源适配器1个、三脚架1个、托盘1个、有线手机、蓝牙耳机1个、车载充电器1个。</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发光通信导向绳</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内攻通信导向绳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1.主要应用场景：常用于地下商场、仓库、山洞、隧道等黑暗环境中进行的抢险、探察灾情、救生逃生等。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2.结构组成：由线体、线盘、电池一体化组成。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3.组成部分：消防员救生照明线、通信网关、中继网关组成。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4.具有多网融合通信功能，集专网、公网通信手段于一体，整套系统可将对讲机、WIFI通信信号实时转发。同时支持接入语音自组网设备。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5.网关之间有线通信速率：通信速率≥2Mbits/s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▲6.网关防爆性能：≥EX ib IIC T4 Gb</w:t>
            </w:r>
            <w:r>
              <w:rPr>
                <w:rFonts w:hint="eastAsia" w:ascii="宋体" w:hAnsi="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7.网关有线级联跳数：≥3跳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8.网关拓展接口：支持网口和ODC光口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9.网关连续工作时间≥10h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10.网关防护等级：IP68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11.通信网关SIM卡接口：支持机壳外更换SIM卡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▲12.线盘防爆性能：≥EX ib IIC T4 Gb</w:t>
            </w:r>
            <w:r>
              <w:rPr>
                <w:rFonts w:hint="eastAsia" w:ascii="宋体" w:hAnsi="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13.救生照明线一体化结构设计，内置锂电池，线长≥100米，发光亮度≥103cd/㎡，线体拉力≥505N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14.具备长亮、慢闪、快闪、导向功能，长亮连续工作时间≥10h，闪烁连续工作时间≥20h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▲15.救生照明线重量≤8kg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16具有高亮辅助照明灯功能，在黑暗的环境中可提供辅助照明，线盘具有方位灯功能，方便寻回。</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663"/>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四、其他要求：</w:t>
      </w:r>
      <w:r>
        <w:rPr>
          <w:rFonts w:hint="eastAsia" w:ascii="宋体" w:hAnsi="宋体" w:eastAsia="宋体" w:cs="宋体"/>
          <w:b/>
          <w:bCs/>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1、质保期：2年 。</w:t>
      </w:r>
      <w:r>
        <w:rPr>
          <w:rFonts w:hint="eastAsia" w:ascii="宋体" w:hAnsi="宋体" w:eastAsia="宋体" w:cs="宋体"/>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rPr>
        <w:t xml:space="preserve">供货期限</w:t>
      </w:r>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天内</w:t>
      </w: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完毕并验收合格</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663"/>
        <w:ind w:firstLine="480"/>
        <w:keepLines w:val="0"/>
        <w:keepNext w:val="0"/>
        <w:pageBreakBefore w:val="0"/>
        <w:spacing w:line="3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3、付款方式：所有货物供货完成后付合同价的50%，经消防大队试用两个月，满足要求后出具验收合格证明付清余款。</w:t>
      </w:r>
      <w:r>
        <w:rPr>
          <w:rFonts w:hint="eastAsia" w:ascii="宋体" w:hAnsi="宋体" w:cs="宋体"/>
          <w:sz w:val="24"/>
          <w:highlight w:val="none"/>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注：①本项目报价包含完</w:t>
      </w:r>
      <w:r>
        <w:rPr>
          <w:rFonts w:hint="eastAsia" w:ascii="宋体" w:hAnsi="宋体" w:eastAsia="宋体" w:cs="宋体"/>
          <w:sz w:val="24"/>
          <w:szCs w:val="24"/>
          <w:lang w:val="en-US" w:eastAsia="zh-CN"/>
        </w:rPr>
        <w:t xml:space="preserve">成该项目所发生的所有费用。供应商在投标报价时应根据磋商文件要求并自行踏勘现场，在投标报价时应充分考虑项目实施期间的各类风险并计入报价中，结算时单价不再调整。采购人不组织供应商踏勘现场，由供应商自行对现场和周围环境进行勘察。供应商踏勘现场发生的费用自理并自行负责在踏勘现场中所发生的人员伤亡和财产损失。</w:t>
      </w:r>
      <w:r>
        <w:rPr>
          <w:rFonts w:hint="eastAsia" w:ascii="宋体" w:hAnsi="宋体" w:eastAsia="宋体" w:cs="宋体"/>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②为保证产品质量，</w:t>
      </w:r>
      <w:r>
        <w:rPr>
          <w:rFonts w:hint="eastAsia" w:ascii="宋体" w:hAnsi="宋体" w:eastAsia="宋体" w:cs="宋体"/>
          <w:b/>
          <w:bCs/>
          <w:sz w:val="24"/>
          <w:szCs w:val="24"/>
          <w:lang w:val="en-US" w:eastAsia="zh-CN"/>
        </w:rPr>
        <w:t xml:space="preserve">采购需求中其中★条款为必须响应条款，需提供响应证明材料，未按要求提供的作无效投标处理如未响应此项作无效标处理。</w:t>
      </w:r>
      <w:r>
        <w:rPr>
          <w:rFonts w:hint="eastAsia" w:ascii="宋体" w:hAnsi="宋体" w:eastAsia="宋体" w:cs="宋体"/>
          <w:sz w:val="24"/>
          <w:highlight w:val="none"/>
          <w:lang w:val="en-US" w:eastAsia="zh-CN"/>
        </w:rPr>
      </w:r>
      <w:r/>
    </w:p>
    <w:p>
      <w:pPr>
        <w:pStyle w:val="663"/>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34"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34"/>
      <w:r>
        <w:rPr>
          <w:rFonts w:hint="eastAsia" w:ascii="宋体" w:hAnsi="宋体" w:eastAsia="宋体" w:cs="宋体"/>
          <w:b/>
          <w:bCs/>
          <w:sz w:val="32"/>
          <w:szCs w:val="32"/>
          <w:highlight w:val="none"/>
          <w:lang w:val="en-US" w:eastAsia="zh-CN"/>
        </w:rPr>
      </w:r>
      <w:r/>
    </w:p>
    <w:p>
      <w:pPr>
        <w:pStyle w:val="680"/>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680"/>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rPr>
          <w:rFonts w:hint="eastAsia" w:ascii="宋体" w:hAnsi="宋体" w:eastAsia="宋体" w:cs="宋体"/>
          <w:sz w:val="44"/>
          <w:szCs w:val="44"/>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3"/>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rPr>
          <w:rFonts w:hint="eastAsia" w:ascii="宋体" w:hAnsi="宋体" w:eastAsia="宋体" w:cs="宋体"/>
          <w:b/>
          <w:bCs/>
          <w:sz w:val="36"/>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428"/>
        <w:keepLines w:val="0"/>
        <w:keepNext w:val="0"/>
        <w:rPr>
          <w:rFonts w:ascii="宋体" w:hAnsi="宋体" w:eastAsia="宋体" w:cs="宋体"/>
          <w:b/>
          <w:sz w:val="36"/>
          <w:szCs w:val="24"/>
          <w:highlight w:val="none"/>
          <w:lang w:val="en-US" w:eastAsia="zh-CN"/>
        </w:rPr>
      </w:pPr>
      <w:r>
        <w:rPr>
          <w:rFonts w:hint="eastAsia" w:hAnsi="宋体" w:eastAsia="宋体" w:cs="宋体"/>
          <w:b/>
          <w:sz w:val="36"/>
          <w:szCs w:val="24"/>
          <w:highlight w:val="none"/>
          <w:lang w:val="en-US" w:eastAsia="zh-CN"/>
        </w:rPr>
        <w:t xml:space="preserve">采 购 包：1/2</w:t>
      </w:r>
      <w:r>
        <w:rPr>
          <w:rFonts w:ascii="宋体" w:hAnsi="宋体" w:eastAsia="宋体" w:cs="宋体"/>
          <w:b/>
          <w:sz w:val="36"/>
          <w:szCs w:val="24"/>
          <w:highlight w:val="none"/>
          <w:lang w:val="en-US" w:eastAsia="zh-CN"/>
        </w:rPr>
      </w:r>
      <w:r/>
    </w:p>
    <w:p>
      <w:pPr>
        <w:pStyle w:val="680"/>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680"/>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rPr>
          <w:rFonts w:hint="eastAsia" w:ascii="宋体" w:hAnsi="宋体" w:eastAsia="宋体" w:cs="宋体"/>
          <w:b/>
          <w:sz w:val="36"/>
          <w:szCs w:val="24"/>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rPr>
          <w:rFonts w:hint="eastAsia" w:ascii="宋体" w:hAnsi="宋体" w:eastAsia="宋体" w:cs="宋体"/>
          <w:b/>
          <w:bCs/>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rPr>
          <w:rFonts w:hint="eastAsia" w:ascii="宋体" w:hAnsi="宋体" w:eastAsia="宋体" w:cs="宋体"/>
          <w:b/>
          <w:sz w:val="32"/>
          <w:highlight w:val="none"/>
        </w:rPr>
      </w:r>
      <w:r/>
    </w:p>
    <w:p>
      <w:pPr>
        <w:pStyle w:val="663"/>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63"/>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92"/>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r>
      <w:r/>
    </w:p>
    <w:p>
      <w:pPr>
        <w:pStyle w:val="663"/>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rPr>
          <w:rFonts w:hint="eastAsia" w:ascii="宋体" w:hAnsi="宋体" w:eastAsia="宋体" w:cs="宋体"/>
          <w:b/>
          <w:bCs/>
          <w:color w:val="000000"/>
          <w:sz w:val="24"/>
          <w:highlight w:val="none"/>
        </w:rPr>
      </w:r>
      <w:r/>
    </w:p>
    <w:p>
      <w:pPr>
        <w:pStyle w:val="663"/>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rPr>
          <w:rFonts w:hint="eastAsia" w:ascii="宋体" w:hAnsi="宋体" w:eastAsia="宋体" w:cs="宋体"/>
          <w:b/>
          <w:bCs/>
          <w:sz w:val="32"/>
          <w:szCs w:val="32"/>
          <w:highlight w:val="none"/>
        </w:rPr>
      </w:r>
      <w:r/>
    </w:p>
    <w:p>
      <w:pPr>
        <w:pStyle w:val="675"/>
        <w:ind w:right="0"/>
        <w:jc w:val="left"/>
        <w:keepLines w:val="0"/>
        <w:keepNext w:val="0"/>
        <w:pageBreakBefore w:val="0"/>
        <w:spacing w:line="36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r>
      <w:r/>
    </w:p>
    <w:p>
      <w:pPr>
        <w:pStyle w:val="734"/>
        <w:ind w:right="0" w:firstLine="480"/>
        <w:jc w:val="left"/>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采购包1/采购包2 </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rPr>
        <w:t xml:space="preserve">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lang w:val="en-US" w:eastAsia="zh-CN"/>
        </w:rPr>
        <w:t xml:space="preserve">单</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：合同签订后30天内供货完毕并验收合格。</w:t>
      </w:r>
      <w:r>
        <w:rPr>
          <w:rFonts w:hint="eastAsia" w:ascii="宋体" w:hAnsi="宋体" w:eastAsia="宋体" w:cs="宋体"/>
          <w:sz w:val="24"/>
          <w:szCs w:val="24"/>
          <w:highlight w:val="none"/>
          <w:lang w:eastAsia="zh-CN"/>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rPr>
          <w:rFonts w:hint="eastAsia" w:ascii="宋体" w:hAnsi="宋体" w:eastAsia="宋体" w:cs="宋体"/>
          <w:sz w:val="24"/>
          <w:szCs w:val="24"/>
          <w:highlight w:val="none"/>
        </w:rPr>
      </w:r>
      <w:r/>
    </w:p>
    <w:p>
      <w:pPr>
        <w:pStyle w:val="663"/>
        <w:ind w:right="0" w:firstLine="567"/>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4"/>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734"/>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663"/>
        <w:ind w:right="0" w:firstLine="3840"/>
        <w:keepLines w:val="0"/>
        <w:keepNext w:val="0"/>
        <w:pageBreakBefore w:val="0"/>
        <w:spacing w:line="3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0"/>
        <w:ind w:right="0" w:firstLine="360"/>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663"/>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rPr>
          <w:rFonts w:hint="eastAsia" w:ascii="宋体" w:hAnsi="宋体" w:eastAsia="宋体" w:cs="宋体"/>
          <w:b/>
          <w:bCs/>
          <w:spacing w:val="20"/>
          <w:sz w:val="32"/>
          <w:szCs w:val="32"/>
          <w:highlight w:val="none"/>
        </w:rPr>
      </w:r>
      <w:r/>
    </w:p>
    <w:tbl>
      <w:tblPr>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440" w:lineRule="exact"/>
              <w:tabs>
                <w:tab w:val="left" w:pos="900" w:leader="none"/>
              </w:tabs>
              <w:rPr>
                <w:rFonts w:ascii="宋体" w:hAnsi="宋体" w:eastAsia="宋体" w:cs="宋体"/>
                <w:sz w:val="24"/>
                <w:highlight w:val="none"/>
                <w:lang w:val="en-US" w:eastAsia="zh-CN"/>
              </w:rPr>
            </w:pPr>
            <w:r>
              <w:rPr>
                <w:rFonts w:hint="eastAsia" w:ascii="宋体" w:hAnsi="宋体" w:eastAsia="宋体" w:cs="宋体"/>
                <w:sz w:val="24"/>
                <w:highlight w:val="none"/>
                <w:lang w:val="zh-CN"/>
              </w:rPr>
              <w:t xml:space="preserve">开发区专职消防队消防设备、器材采购项目</w:t>
            </w:r>
            <w:r>
              <w:rPr>
                <w:rFonts w:hint="eastAsia" w:ascii="宋体" w:hAnsi="宋体" w:eastAsia="宋体" w:cs="宋体"/>
                <w:sz w:val="24"/>
                <w:highlight w:val="none"/>
                <w:lang w:val="en-US" w:eastAsia="zh-CN"/>
              </w:rPr>
              <w:t xml:space="preserve">-采购包1/采购包2</w:t>
            </w:r>
            <w:r>
              <w:rPr>
                <w:rFonts w:ascii="宋体" w:hAnsi="宋体" w:eastAsia="宋体" w:cs="宋体"/>
                <w:sz w:val="24"/>
                <w:highlight w:val="none"/>
                <w:lang w:val="en-US" w:eastAsia="zh-CN"/>
              </w:rPr>
            </w:r>
            <w:r/>
          </w:p>
        </w:tc>
      </w:tr>
      <w:tr>
        <w:trPr>
          <w:trHeight w:val="193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663"/>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eastAsia="宋体" w:cs="宋体"/>
                <w:sz w:val="24"/>
                <w:highlight w:val="none"/>
                <w:lang w:val="zh-CN"/>
              </w:rPr>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eastAsia="zh-CN"/>
              </w:rPr>
              <w:t xml:space="preserve">供货期限</w:t>
            </w:r>
            <w:r>
              <w:rPr>
                <w:rFonts w:hint="eastAsia" w:ascii="宋体" w:hAnsi="宋体" w:eastAsia="宋体" w:cs="宋体"/>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rPr>
              <w:t xml:space="preserve">合同签订后</w:t>
            </w:r>
            <w:r>
              <w:rPr>
                <w:rFonts w:hint="eastAsia" w:ascii="宋体" w:hAnsi="宋体" w:cs="宋体"/>
                <w:sz w:val="24"/>
                <w:lang w:val="en-US" w:eastAsia="zh-CN"/>
              </w:rPr>
              <w:t xml:space="preserve">30</w:t>
            </w:r>
            <w:r>
              <w:rPr>
                <w:rFonts w:hint="eastAsia" w:ascii="宋体" w:hAnsi="宋体" w:cs="宋体"/>
                <w:sz w:val="24"/>
              </w:rPr>
              <w:t xml:space="preserve">天内</w:t>
            </w:r>
            <w:r>
              <w:rPr>
                <w:rFonts w:hint="eastAsia" w:ascii="宋体" w:hAnsi="宋体" w:cs="宋体"/>
                <w:sz w:val="24"/>
                <w:lang w:val="en-US" w:eastAsia="zh-CN"/>
              </w:rPr>
              <w:t xml:space="preserve">供货</w:t>
            </w:r>
            <w:r>
              <w:rPr>
                <w:rFonts w:hint="eastAsia" w:ascii="宋体" w:hAnsi="宋体" w:cs="宋体"/>
                <w:sz w:val="24"/>
              </w:rPr>
              <w:t xml:space="preserve">完毕并验收合格</w:t>
            </w:r>
            <w:r>
              <w:rPr>
                <w:rFonts w:hint="eastAsia" w:ascii="宋体" w:hAnsi="宋体" w:cs="宋体"/>
                <w:sz w:val="24"/>
                <w:lang w:eastAsia="zh-CN"/>
              </w:rPr>
              <w:t xml:space="preserve">。</w:t>
            </w:r>
            <w:r>
              <w:rPr>
                <w:rFonts w:hint="eastAsia" w:ascii="宋体" w:hAnsi="宋体" w:eastAsia="宋体" w:cs="宋体"/>
                <w:sz w:val="24"/>
                <w:highlight w:val="none"/>
                <w:lang w:val="zh-CN"/>
              </w:rPr>
            </w:r>
            <w:r/>
          </w:p>
        </w:tc>
      </w:tr>
    </w:tbl>
    <w:p>
      <w:pPr>
        <w:pStyle w:val="663"/>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r>
      <w:r/>
    </w:p>
    <w:p>
      <w:pPr>
        <w:pStyle w:val="663"/>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85"/>
        <w:ind w:right="0"/>
        <w:keepLines w:val="0"/>
        <w:keepNext w:val="0"/>
        <w:tabs>
          <w:tab w:val="center" w:pos="4153" w:leader="none"/>
          <w:tab w:val="right" w:pos="8306" w:leader="none"/>
        </w:tabs>
        <w:rPr>
          <w:rFonts w:hint="eastAsia" w:ascii="宋体" w:hAnsi="宋体" w:eastAsia="宋体" w:cs="宋体"/>
          <w:highlight w:val="none"/>
        </w:rPr>
      </w:pPr>
      <w:r>
        <w:rPr>
          <w:rFonts w:hint="eastAsia" w:ascii="宋体" w:hAnsi="宋体" w:eastAsia="宋体" w:cs="宋体"/>
          <w:highlight w:val="none"/>
        </w:rPr>
      </w:r>
      <w:r/>
    </w:p>
    <w:p>
      <w:pPr>
        <w:pStyle w:val="663"/>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63"/>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rPr>
          <w:rFonts w:hint="eastAsia" w:ascii="宋体" w:hAnsi="宋体" w:eastAsia="宋体" w:cs="宋体"/>
          <w:sz w:val="24"/>
          <w:highlight w:val="none"/>
        </w:rPr>
      </w:r>
      <w:r/>
    </w:p>
    <w:p>
      <w:pPr>
        <w:pStyle w:val="663"/>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35" w:name="_Toc136924766"/>
      <w:r/>
      <w:bookmarkStart w:id="36" w:name="_Toc157775459"/>
      <w:r>
        <w:rPr>
          <w:rFonts w:hint="eastAsia" w:ascii="宋体" w:hAnsi="宋体" w:eastAsia="宋体" w:cs="宋体"/>
          <w:sz w:val="24"/>
          <w:highlight w:val="none"/>
        </w:rPr>
      </w:r>
      <w:r/>
    </w:p>
    <w:p>
      <w:pPr>
        <w:pStyle w:val="663"/>
        <w:ind w:right="0" w:firstLine="3408"/>
        <w:keepLines w:val="0"/>
        <w:keepNext w:val="0"/>
        <w:spacing w:line="440" w:lineRule="exact"/>
        <w:rPr>
          <w:rFonts w:hint="eastAsia" w:ascii="宋体" w:hAnsi="宋体" w:eastAsia="宋体" w:cs="宋体"/>
          <w:b/>
          <w:bCs/>
          <w:spacing w:val="20"/>
          <w:sz w:val="32"/>
          <w:szCs w:val="32"/>
          <w:highlight w:val="none"/>
        </w:rPr>
      </w:pPr>
      <w:r/>
      <w:bookmarkEnd w:id="35"/>
      <w:r/>
      <w:bookmarkEnd w:id="36"/>
      <w:r>
        <w:rPr>
          <w:rFonts w:hint="eastAsia" w:ascii="宋体" w:hAnsi="宋体" w:eastAsia="宋体" w:cs="宋体"/>
          <w:b/>
          <w:bCs/>
          <w:spacing w:val="20"/>
          <w:sz w:val="32"/>
          <w:szCs w:val="32"/>
          <w:highlight w:val="none"/>
        </w:rPr>
      </w:r>
      <w:r/>
    </w:p>
    <w:p>
      <w:pPr>
        <w:pStyle w:val="663"/>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numPr>
          <w:ilvl w:val="0"/>
          <w:numId w:val="0"/>
        </w:numPr>
        <w:ind w:right="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rPr>
          <w:rFonts w:hint="eastAsia" w:ascii="宋体" w:hAnsi="宋体" w:eastAsia="宋体" w:cs="宋体"/>
          <w:b/>
          <w:bCs/>
          <w:spacing w:val="20"/>
          <w:sz w:val="32"/>
          <w:szCs w:val="32"/>
          <w:highlight w:val="none"/>
        </w:rPr>
      </w:r>
      <w:r/>
    </w:p>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采购包1</w:t>
      </w:r>
      <w:r>
        <w:rPr>
          <w:rFonts w:hint="eastAsia" w:ascii="宋体" w:hAnsi="宋体" w:eastAsia="宋体" w:cs="宋体"/>
          <w:b/>
          <w:bCs/>
          <w:sz w:val="24"/>
          <w:szCs w:val="24"/>
          <w:u w:val="none"/>
          <w:lang w:val="en-US" w:eastAsia="zh-CN"/>
        </w:rPr>
      </w:r>
      <w:r/>
    </w:p>
    <w:tbl>
      <w:tblPr>
        <w:tblStyle w:val="694"/>
        <w:tblW w:w="99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34"/>
        <w:gridCol w:w="2061"/>
        <w:gridCol w:w="813"/>
        <w:gridCol w:w="789"/>
        <w:gridCol w:w="1068"/>
        <w:gridCol w:w="1261"/>
        <w:gridCol w:w="1261"/>
      </w:tblGrid>
      <w:tr>
        <w:trPr>
          <w:trHeight w:val="587"/>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vertAlign w:val="baseli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vertAlign w:val="baseline"/>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rPr>
                <w:rFonts w:hint="eastAsia" w:ascii="宋体" w:hAnsi="宋体" w:eastAsia="宋体" w:cs="宋体"/>
                <w:b/>
                <w:bCs/>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000000"/>
                <w:sz w:val="24"/>
              </w:rPr>
              <w:t xml:space="preserve">是否响应项目采购需求</w:t>
            </w:r>
            <w:r>
              <w:rPr>
                <w:rFonts w:hint="eastAsia" w:ascii="宋体" w:hAnsi="宋体" w:eastAsia="宋体" w:cs="宋体"/>
                <w:b/>
                <w:bCs/>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lang w:val="en-US" w:eastAsia="zh-CN" w:bidi="ar"/>
              </w:rPr>
            </w:r>
            <w:r/>
          </w:p>
        </w:tc>
        <w:tc>
          <w:tcPr>
            <w:tcW w:w="1068"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1"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1"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备注</w:t>
            </w:r>
            <w:r>
              <w:rPr>
                <w:rFonts w:ascii="宋体" w:hAnsi="宋体" w:eastAsia="宋体" w:cs="宋体"/>
                <w:b/>
                <w:bCs/>
                <w:sz w:val="21"/>
                <w:szCs w:val="21"/>
                <w:vertAlign w:val="baseline"/>
                <w:lang w:val="en-US" w:eastAsia="zh-CN"/>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消防头盔（半盔）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头灯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应急逃生自救安全绳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消防腰斧</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消防安全腰带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消防员灭火防护头套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68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消防员抢险救援头盔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3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消防员抢险救援防护服（夏季）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lang w:val="en-US" w:eastAsia="zh-CN"/>
              </w:rPr>
              <w:t xml:space="preserve">13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消防员抢险救援防护服（冬季）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消防护目镜</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消防员护膝护肘</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消防过滤式自救呼吸器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消防员隔热防护服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消防员避火防护服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化学防护手套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消防员降温背心</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消防全身式安全吊带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消防员防蜂服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消防轻型安全绳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消防通用安全绳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1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消防防坠落辅助部件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手提式强光照明灯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折叠担架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多功能担架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numPr>
                <w:ilvl w:val="0"/>
                <w:numId w:val="0"/>
              </w:numPr>
              <w:ind w:left="0" w:firstLine="0"/>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救生抛投器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激光测距仪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漏电探测仪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有毒气体探测仪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可燃气体检测仪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vertAlign w:val="baseline"/>
                <w:lang w:val="en-US" w:eastAsia="zh-CN"/>
              </w:rPr>
            </w:r>
            <w:r/>
          </w:p>
        </w:tc>
        <w:tc>
          <w:tcPr>
            <w:tcW w:w="203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rPr>
              <w:t xml:space="preserve">中压分水器</w:t>
            </w:r>
            <w:r>
              <w:rPr>
                <w:rFonts w:hint="eastAsia" w:ascii="宋体" w:hAnsi="宋体" w:eastAsia="宋体" w:cs="宋体"/>
                <w:vertAlign w:val="baseline"/>
              </w:rPr>
            </w:r>
            <w:r/>
          </w:p>
        </w:tc>
        <w:tc>
          <w:tcPr>
            <w:tcW w:w="2061"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三分水</w:t>
            </w:r>
            <w:r>
              <w:rPr>
                <w:rFonts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vertAlign w:val="baseline"/>
              </w:rPr>
            </w:r>
            <w:r/>
          </w:p>
        </w:tc>
        <w:tc>
          <w:tcPr>
            <w:tcW w:w="203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vertAlign w:val="baseline"/>
              </w:rPr>
            </w:r>
            <w:r/>
          </w:p>
        </w:tc>
        <w:tc>
          <w:tcPr>
            <w:tcW w:w="2061"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二分水</w:t>
            </w:r>
            <w:r>
              <w:rPr>
                <w:rFonts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highlight w:val="none"/>
                <w:vertAlign w:val="baseline"/>
                <w:lang w:val="en-US" w:eastAsia="zh-CN"/>
              </w:rPr>
              <w:t xml:space="preserve">三</w:t>
            </w:r>
            <w:r>
              <w:rPr>
                <w:rFonts w:hint="eastAsia"/>
                <w:highlight w:val="none"/>
                <w:vertAlign w:val="baseline"/>
              </w:rPr>
              <w:t xml:space="preserve">分水器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1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highlight w:val="none"/>
                <w:vertAlign w:val="baseline"/>
                <w:lang w:val="en-US" w:eastAsia="zh-CN"/>
              </w:rPr>
              <w:t xml:space="preserve">二</w:t>
            </w:r>
            <w:r>
              <w:rPr>
                <w:rFonts w:hint="eastAsia"/>
                <w:highlight w:val="none"/>
                <w:vertAlign w:val="baseline"/>
              </w:rPr>
              <w:t xml:space="preserve">分水器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39</w:t>
            </w:r>
            <w:r>
              <w:rPr>
                <w:rFonts w:hint="eastAsia" w:ascii="宋体" w:hAnsi="宋体" w:eastAsia="宋体" w:cs="宋体"/>
                <w:vertAlign w:val="baseline"/>
                <w:lang w:val="en-US" w:eastAsia="zh-CN"/>
              </w:rPr>
            </w:r>
            <w:r/>
          </w:p>
        </w:tc>
        <w:tc>
          <w:tcPr>
            <w:tcW w:w="203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rPr>
              <w:t xml:space="preserve">异型异径接口</w:t>
            </w:r>
            <w:r>
              <w:rPr>
                <w:rFonts w:hint="eastAsia" w:ascii="宋体" w:hAnsi="宋体" w:eastAsia="宋体" w:cs="宋体"/>
                <w:vertAlign w:val="baseline"/>
              </w:rPr>
            </w:r>
            <w:r/>
          </w:p>
        </w:tc>
        <w:tc>
          <w:tcPr>
            <w:tcW w:w="2061"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80转65</w:t>
            </w:r>
            <w:r>
              <w:rPr>
                <w:rFonts w:hint="eastAsia"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r>
            <w:r/>
          </w:p>
        </w:tc>
        <w:tc>
          <w:tcPr>
            <w:tcW w:w="203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65转40</w:t>
            </w:r>
            <w:r>
              <w:rPr>
                <w:rFonts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消防员湿式水域救援防护服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41</w:t>
            </w:r>
            <w:r>
              <w:rPr>
                <w:rFonts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消防员干式水域救援防护服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消防员水域救援防护靴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消防员水域救援头盔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69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激流救生衣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90"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消防员水域救援绳刀</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牛尾绳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水域救援头灯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示位灯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水域救援抛绳包</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中队级双光无人机</w:t>
            </w: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自保多功能水枪</w:t>
            </w: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液压开门器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舷外机</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舟艇</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艘</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机动链锯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二级化学防护服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救生照明线</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止坠器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60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安全钩</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61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短连接</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静力绳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动力绳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IDS下降器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高空手套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墙角保护器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可调牛尾</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绳索保护垫</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绳索保护器滑轮组</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警戒带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锥型事故标志柱</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危险警示牌</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电台</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快速攻击炮</w:t>
            </w:r>
            <w:r>
              <w:rPr>
                <w:rFonts w:hint="eastAsia" w:ascii="宋体" w:hAnsi="宋体" w:eastAsia="宋体" w:cs="宋体"/>
                <w:i w:val="0"/>
                <w:iCs w:val="0"/>
                <w:color w:val="000000"/>
                <w:sz w:val="22"/>
                <w:szCs w:val="22"/>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无齿锯</w:t>
            </w:r>
            <w:r>
              <w:rPr>
                <w:rFonts w:hint="eastAsia" w:ascii="宋体" w:hAnsi="宋体" w:eastAsia="宋体" w:cs="宋体"/>
                <w:i w:val="0"/>
                <w:iCs w:val="0"/>
                <w:color w:val="000000"/>
                <w:sz w:val="22"/>
                <w:szCs w:val="22"/>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ascii="宋体" w:hAnsi="宋体" w:eastAsia="宋体" w:cs="宋体"/>
                <w:b/>
                <w:bCs/>
                <w:vertAlign w:val="baseline"/>
                <w:lang w:val="en-US" w:eastAsia="zh-CN"/>
              </w:rPr>
            </w:pPr>
            <w:r>
              <w:rPr>
                <w:rFonts w:hint="eastAsia" w:ascii="宋体" w:hAnsi="宋体" w:eastAsia="宋体" w:cs="宋体"/>
                <w:b/>
                <w:bCs/>
                <w:vertAlign w:val="baseline"/>
                <w:lang w:val="en-US" w:eastAsia="zh-CN"/>
              </w:rPr>
              <w:t xml:space="preserve">76</w:t>
            </w:r>
            <w:r>
              <w:rPr>
                <w:rFonts w:ascii="宋体" w:hAnsi="宋体" w:eastAsia="宋体" w:cs="宋体"/>
                <w:b/>
                <w:bCs/>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ascii="宋体" w:hAnsi="宋体" w:eastAsia="宋体" w:cs="宋体"/>
                <w:b/>
                <w:bCs/>
                <w:i w:val="0"/>
                <w:iCs w:val="0"/>
                <w:color w:val="000000"/>
                <w:sz w:val="22"/>
                <w:szCs w:val="22"/>
                <w:u w:val="none"/>
                <w:lang w:val="en-US" w:eastAsia="zh-CN" w:bidi="ar"/>
              </w:rPr>
            </w:r>
            <w:r/>
          </w:p>
        </w:tc>
        <w:tc>
          <w:tcPr>
            <w:gridSpan w:val="6"/>
            <w:tcW w:w="7253" w:type="dxa"/>
            <w:vAlign w:val="center"/>
            <w:textDirection w:val="lrTb"/>
            <w:noWrap w:val="false"/>
          </w:tcPr>
          <w:p>
            <w:pPr>
              <w:pStyle w:val="663"/>
              <w:jc w:val="left"/>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大写：                  （¥：             元）</w:t>
            </w:r>
            <w:r>
              <w:rPr>
                <w:rFonts w:ascii="宋体" w:hAnsi="宋体" w:eastAsia="宋体" w:cs="宋体"/>
                <w:b/>
                <w:bCs/>
                <w:i w:val="0"/>
                <w:iCs w:val="0"/>
                <w:color w:val="000000"/>
                <w:sz w:val="22"/>
                <w:szCs w:val="22"/>
                <w:u w:val="none"/>
                <w:lang w:val="en-US" w:eastAsia="zh-CN" w:bidi="ar"/>
              </w:rPr>
            </w:r>
            <w:r/>
          </w:p>
        </w:tc>
      </w:tr>
      <w:tr>
        <w:trPr>
          <w:trHeight w:val="887" w:hRule="exact"/>
        </w:trPr>
        <w:tc>
          <w:tcPr>
            <w:gridSpan w:val="8"/>
            <w:tcW w:w="9959"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bl>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pStyle w:val="789"/>
        <w:ind w:left="0" w:firstLine="0"/>
        <w:jc w:val="left"/>
        <w:keepLines w:val="0"/>
        <w:keepNext w:val="0"/>
        <w:pageBreakBefore w:val="0"/>
        <w:spacing w:before="157" w:after="157" w:line="400" w:lineRule="exact"/>
        <w:widowControl/>
        <w:rPr>
          <w:rFonts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采购包2</w:t>
      </w:r>
      <w:r>
        <w:rPr>
          <w:rFonts w:ascii="宋体" w:hAnsi="宋体" w:eastAsia="宋体" w:cs="宋体"/>
          <w:b/>
          <w:bCs/>
          <w:sz w:val="24"/>
          <w:szCs w:val="24"/>
          <w:u w:val="none"/>
          <w:lang w:val="en-US" w:eastAsia="zh-CN"/>
        </w:rPr>
      </w:r>
      <w:r/>
    </w:p>
    <w:tbl>
      <w:tblPr>
        <w:tblStyle w:val="694"/>
        <w:tblW w:w="99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040"/>
        <w:gridCol w:w="2055"/>
        <w:gridCol w:w="795"/>
        <w:gridCol w:w="795"/>
        <w:gridCol w:w="1080"/>
        <w:gridCol w:w="1260"/>
        <w:gridCol w:w="1229"/>
        <w:gridCol w:w="15"/>
      </w:tblGrid>
      <w:tr>
        <w:trPr>
          <w:trHeight w:val="587"/>
        </w:trPr>
        <w:tc>
          <w:tcPr>
            <w:tcW w:w="70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lang w:val="en-US" w:eastAsia="zh-CN" w:bidi="ar"/>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rPr>
                <w:rFonts w:hint="eastAsia" w:ascii="宋体" w:hAnsi="宋体" w:eastAsia="宋体" w:cs="宋体"/>
                <w:b/>
                <w:bCs/>
                <w:i w:val="0"/>
                <w:iCs w:val="0"/>
                <w:color w:val="000000"/>
                <w:sz w:val="22"/>
                <w:szCs w:val="22"/>
                <w:u w:val="none"/>
                <w:lang w:val="en-US" w:eastAsia="zh-CN" w:bidi="ar"/>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000000"/>
                <w:sz w:val="24"/>
              </w:rPr>
              <w:t xml:space="preserve">是否响应项目采购需求</w:t>
            </w:r>
            <w:r>
              <w:rPr>
                <w:rFonts w:ascii="宋体" w:hAnsi="宋体" w:eastAsia="宋体" w:cs="宋体"/>
                <w:b/>
                <w:bCs/>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ascii="宋体" w:hAnsi="宋体" w:eastAsia="宋体" w:cs="宋体"/>
                <w:b/>
                <w:bCs/>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ascii="宋体" w:hAnsi="宋体" w:eastAsia="宋体" w:cs="宋体"/>
                <w:b/>
                <w:bCs/>
                <w:i w:val="0"/>
                <w:iCs w:val="0"/>
                <w:color w:val="000000"/>
                <w:sz w:val="22"/>
                <w:szCs w:val="22"/>
                <w:u w:val="none"/>
                <w:lang w:val="en-US" w:eastAsia="zh-CN" w:bidi="ar"/>
              </w:rPr>
            </w:r>
            <w:r/>
          </w:p>
        </w:tc>
        <w:tc>
          <w:tcPr>
            <w:tcW w:w="1080"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0"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gridSpan w:val="2"/>
            <w:tcW w:w="1244"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i w:val="0"/>
                <w:iCs w:val="0"/>
                <w:color w:val="000000"/>
                <w:sz w:val="22"/>
                <w:szCs w:val="22"/>
                <w:u w:val="none"/>
                <w:lang w:val="en-US" w:eastAsia="zh-CN" w:bidi="ar"/>
              </w:rPr>
            </w:r>
            <w:r/>
          </w:p>
        </w:tc>
      </w:tr>
      <w:tr>
        <w:trPr>
          <w:trHeight w:val="79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正压式空气呼吸器（6、8L）</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消防六米拉梯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手抬机动消防泵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水幕水带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移动照明灯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消防九米拉梯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十五米金属拉梯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哈里根铤</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挂钩梯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手动破拆工具组</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多功能挠钩</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绝缘剪断钳</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无火花工具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多功能刀具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戒指角磨机</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毁锁器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2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消防员呼救器后场接收装置</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l</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一级化学防护服</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电绝缘装具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消防用红外热像仪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消防水带65mm</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常压80mm水带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高压80mm水带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常压40mm水带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直流水枪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浮挺泵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vMerge w:val="restart"/>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eastAsia="宋体"/>
                <w:sz w:val="22"/>
                <w:szCs w:val="22"/>
                <w:vertAlign w:val="baseline"/>
              </w:rPr>
            </w:r>
            <w:r/>
          </w:p>
        </w:tc>
        <w:tc>
          <w:tcPr>
            <w:tcW w:w="2040" w:type="dxa"/>
            <w:vAlign w:val="center"/>
            <w:vMerge w:val="restart"/>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多功能消防水枪</w:t>
            </w:r>
            <w:r>
              <w:rPr>
                <w:rFonts w:eastAsia="宋体"/>
                <w:sz w:val="22"/>
                <w:szCs w:val="22"/>
                <w:vertAlign w:val="baseline"/>
              </w:rPr>
            </w:r>
            <w:r/>
          </w:p>
        </w:tc>
        <w:tc>
          <w:tcPr>
            <w:tcW w:w="2055" w:type="dxa"/>
            <w:vAlign w:val="center"/>
            <w:vMerge w:val="restart"/>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vMerge w:val="continue"/>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pPr>
            <w:r>
              <w:rPr>
                <w:rFonts w:eastAsia="宋体"/>
                <w:sz w:val="22"/>
                <w:szCs w:val="22"/>
                <w:vertAlign w:val="baseline"/>
              </w:rPr>
            </w:r>
            <w:r/>
          </w:p>
        </w:tc>
        <w:tc>
          <w:tcPr>
            <w:tcW w:w="2040" w:type="dxa"/>
            <w:vAlign w:val="center"/>
            <w:vMerge w:val="continue"/>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pPr>
            <w:r>
              <w:rPr>
                <w:rFonts w:eastAsia="宋体"/>
                <w:sz w:val="22"/>
                <w:szCs w:val="22"/>
                <w:vertAlign w:val="baseline"/>
              </w:rPr>
            </w:r>
            <w:r/>
          </w:p>
        </w:tc>
        <w:tc>
          <w:tcPr>
            <w:tcW w:w="2055" w:type="dxa"/>
            <w:vAlign w:val="center"/>
            <w:vMerge w:val="continue"/>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空气充填泵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双轮异向切割锯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手持式钢筋速断器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声呐探测仪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5G单兵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5G球机</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发光通信导向绳</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36</w:t>
            </w:r>
            <w:r>
              <w:rPr>
                <w:rFonts w:ascii="宋体" w:hAnsi="宋体" w:eastAsia="宋体" w:cs="宋体"/>
                <w:b/>
                <w:bCs/>
                <w:i w:val="0"/>
                <w:iCs w:val="0"/>
                <w:color w:val="000000"/>
                <w:sz w:val="22"/>
                <w:szCs w:val="22"/>
                <w:u w:val="none"/>
                <w:lang w:val="en-US" w:eastAsia="zh-CN" w:bidi="ar"/>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ascii="宋体" w:hAnsi="宋体" w:eastAsia="宋体" w:cs="宋体"/>
                <w:b/>
                <w:bCs/>
                <w:i w:val="0"/>
                <w:iCs w:val="0"/>
                <w:color w:val="000000"/>
                <w:sz w:val="22"/>
                <w:szCs w:val="22"/>
                <w:u w:val="none"/>
                <w:lang w:val="en-US" w:eastAsia="zh-CN" w:bidi="ar"/>
              </w:rPr>
            </w:r>
            <w:r/>
          </w:p>
        </w:tc>
        <w:tc>
          <w:tcPr>
            <w:gridSpan w:val="7"/>
            <w:tcW w:w="7229"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大写：                  （¥：             元）</w:t>
            </w:r>
            <w:r>
              <w:rPr>
                <w:rFonts w:hint="eastAsia" w:ascii="宋体" w:hAnsi="宋体" w:eastAsia="宋体" w:cs="宋体"/>
                <w:b/>
                <w:bCs/>
                <w:i w:val="0"/>
                <w:iCs w:val="0"/>
                <w:color w:val="000000"/>
                <w:sz w:val="22"/>
                <w:szCs w:val="22"/>
                <w:u w:val="none"/>
                <w:lang w:val="en-US" w:eastAsia="zh-CN" w:bidi="ar"/>
              </w:rPr>
            </w:r>
            <w:r/>
          </w:p>
        </w:tc>
      </w:tr>
      <w:tr>
        <w:trPr>
          <w:gridAfter w:val="1"/>
          <w:trHeight w:val="887" w:hRule="exact"/>
        </w:trPr>
        <w:tc>
          <w:tcPr>
            <w:gridSpan w:val="8"/>
            <w:tcW w:w="9959" w:type="dxa"/>
            <w:vAlign w:val="center"/>
            <w:textDirection w:val="lrTb"/>
            <w:noWrap w:val="false"/>
          </w:tcPr>
          <w:p>
            <w:pPr>
              <w:pStyle w:val="663"/>
              <w:jc w:val="left"/>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bl>
    <w:p>
      <w:pPr>
        <w:pStyle w:val="663"/>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rPr>
          <w:rFonts w:hint="eastAsia" w:ascii="宋体" w:hAnsi="宋体" w:eastAsia="宋体" w:cs="宋体"/>
          <w:color w:val="ff0000"/>
          <w:sz w:val="24"/>
          <w:highlight w:val="none"/>
          <w:u w:val="single"/>
        </w:rPr>
      </w:r>
      <w:r/>
    </w:p>
    <w:p>
      <w:pPr>
        <w:pStyle w:val="663"/>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80"/>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80"/>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rPr>
      </w:r>
      <w:r/>
    </w:p>
    <w:p>
      <w:pPr>
        <w:pStyle w:val="680"/>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rPr>
          <w:rFonts w:hint="eastAsia" w:ascii="宋体" w:hAnsi="宋体" w:eastAsia="宋体" w:cs="宋体"/>
          <w:sz w:val="24"/>
          <w:szCs w:val="24"/>
          <w:highlight w:val="none"/>
        </w:rPr>
      </w:r>
      <w:r/>
    </w:p>
    <w:p>
      <w:pPr>
        <w:pStyle w:val="680"/>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rPr>
          <w:rFonts w:hint="eastAsia" w:ascii="宋体" w:hAnsi="宋体" w:eastAsia="宋体" w:cs="宋体"/>
          <w:sz w:val="24"/>
          <w:szCs w:val="24"/>
          <w:highlight w:val="none"/>
        </w:rPr>
      </w:r>
      <w:r/>
    </w:p>
    <w:p>
      <w:pPr>
        <w:pStyle w:val="680"/>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rPr>
          <w:rFonts w:hint="eastAsia" w:ascii="宋体" w:hAnsi="宋体" w:eastAsia="宋体" w:cs="宋体"/>
          <w:sz w:val="24"/>
          <w:szCs w:val="24"/>
          <w:highlight w:val="none"/>
        </w:rPr>
      </w:r>
      <w:r/>
    </w:p>
    <w:p>
      <w:pPr>
        <w:pStyle w:val="680"/>
        <w:ind w:right="0" w:firstLine="240"/>
        <w:keepLines w:val="0"/>
        <w:keepNext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highlight w:val="none"/>
          <w:lang w:val="en-US" w:eastAsia="zh-CN" w:bidi="ar-SA"/>
        </w:rPr>
      </w:r>
      <w:r/>
    </w:p>
    <w:p>
      <w:pPr>
        <w:pStyle w:val="663"/>
        <w:numPr>
          <w:ilvl w:val="0"/>
          <w:numId w:val="0"/>
        </w:numPr>
        <w:ind w:right="0"/>
        <w:jc w:val="center"/>
        <w:keepLines w:val="0"/>
        <w:keepNext w:val="0"/>
        <w:pageBreakBefore/>
        <w:widowControl w:val="off"/>
        <w:rPr>
          <w:rFonts w:hint="eastAsia" w:ascii="宋体" w:hAnsi="宋体" w:eastAsia="宋体" w:cs="宋体"/>
          <w:b/>
          <w:bCs/>
          <w:spacing w:val="20"/>
          <w:sz w:val="32"/>
          <w:szCs w:val="32"/>
          <w:lang w:val="en-US" w:eastAsia="zh-CN" w:bidi="ar-SA"/>
        </w:rPr>
        <w:outlineLvl w:val="9"/>
      </w:pPr>
      <w:r>
        <w:rPr>
          <w:rFonts w:hint="eastAsia" w:ascii="宋体" w:hAnsi="宋体" w:eastAsia="宋体" w:cs="宋体"/>
          <w:b/>
          <w:bCs/>
          <w:spacing w:val="20"/>
          <w:sz w:val="32"/>
          <w:szCs w:val="32"/>
          <w:lang w:val="en-US" w:eastAsia="zh-CN" w:bidi="ar-SA"/>
        </w:rPr>
        <w:t xml:space="preserve">四、技术要求响应偏离表</w:t>
      </w:r>
      <w:r>
        <w:rPr>
          <w:rFonts w:hint="eastAsia" w:ascii="宋体" w:hAnsi="宋体" w:eastAsia="宋体" w:cs="宋体"/>
          <w:b/>
          <w:bCs/>
          <w:spacing w:val="20"/>
          <w:sz w:val="32"/>
          <w:szCs w:val="32"/>
          <w:lang w:val="en-US" w:eastAsia="zh-CN" w:bidi="ar-SA"/>
        </w:rPr>
      </w:r>
      <w:r/>
    </w:p>
    <w:p>
      <w:pPr>
        <w:pStyle w:val="663"/>
        <w:ind w:right="0"/>
        <w:jc w:val="left"/>
        <w:keepLines w:val="0"/>
        <w:keepNext w:val="0"/>
        <w:spacing w:line="56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采购包1/</w:t>
      </w:r>
      <w:r>
        <w:rPr>
          <w:rFonts w:hint="eastAsia" w:ascii="宋体" w:hAnsi="宋体" w:eastAsia="宋体" w:cs="宋体"/>
          <w:sz w:val="24"/>
          <w:highlight w:val="none"/>
          <w:lang w:val="en-US" w:eastAsia="zh-CN"/>
        </w:rPr>
        <w:t xml:space="preserve">采购包</w:t>
      </w:r>
      <w:r>
        <w:rPr>
          <w:rFonts w:hint="eastAsia" w:ascii="宋体" w:hAnsi="宋体" w:eastAsia="宋体" w:cs="宋体"/>
          <w:sz w:val="24"/>
          <w:highlight w:val="none"/>
          <w:lang w:val="en-US" w:eastAsia="zh-CN"/>
        </w:rPr>
        <w:t xml:space="preserve">2</w:t>
      </w:r>
      <w:r>
        <w:rPr>
          <w:rFonts w:ascii="宋体" w:hAnsi="宋体" w:eastAsia="宋体" w:cs="宋体"/>
          <w:sz w:val="24"/>
          <w:highlight w:val="none"/>
          <w:lang w:val="en-US" w:eastAsia="zh-CN"/>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525"/>
        <w:gridCol w:w="3540"/>
        <w:gridCol w:w="900"/>
        <w:gridCol w:w="975"/>
      </w:tblGrid>
      <w:tr>
        <w:trPr/>
        <w:tc>
          <w:tcPr>
            <w:tcW w:w="8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352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项目采购需求中主要技术条款描述</w:t>
            </w:r>
            <w:r>
              <w:rPr>
                <w:rFonts w:hint="eastAsia" w:ascii="宋体" w:hAnsi="宋体" w:eastAsia="宋体" w:cs="宋体"/>
                <w:sz w:val="24"/>
              </w:rPr>
            </w:r>
            <w:r/>
          </w:p>
        </w:tc>
        <w:tc>
          <w:tcPr>
            <w:tcW w:w="35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所投产品规格、型号及相应技术参数描述</w:t>
            </w:r>
            <w:r>
              <w:rPr>
                <w:rFonts w:hint="eastAsia" w:ascii="宋体" w:hAnsi="宋体" w:eastAsia="宋体" w:cs="宋体"/>
                <w:sz w:val="24"/>
              </w:rPr>
            </w:r>
            <w:r/>
          </w:p>
        </w:tc>
        <w:tc>
          <w:tcPr>
            <w:tcW w:w="90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偏离情况</w:t>
            </w:r>
            <w:r>
              <w:rPr>
                <w:rFonts w:hint="eastAsia" w:ascii="宋体" w:hAnsi="宋体" w:eastAsia="宋体" w:cs="宋体"/>
                <w:sz w:val="24"/>
              </w:rPr>
            </w:r>
            <w:r/>
          </w:p>
        </w:tc>
        <w:tc>
          <w:tcPr>
            <w:tcW w:w="97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bl>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 </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注： （1）此表为表样，行数可自行添加，但表式不变。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（2）是否偏离用符号“+、=、-”分别表示正偏离、完全响应、负偏离。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（3）投标人必须仔细阅读本招标文件第五章中所有技术规范条款和相关功能要求，并将</w:t>
      </w:r>
      <w:r>
        <w:rPr>
          <w:rFonts w:hint="eastAsia" w:ascii="宋体" w:hAnsi="宋体" w:eastAsia="宋体" w:cs="宋体"/>
          <w:sz w:val="24"/>
          <w:highlight w:val="none"/>
          <w:lang w:val="en-US" w:eastAsia="zh-CN"/>
        </w:rPr>
        <w:t xml:space="preserve">拟投采购包加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项的</w:t>
      </w:r>
      <w:r>
        <w:rPr>
          <w:rFonts w:hint="eastAsia" w:ascii="宋体" w:hAnsi="宋体" w:eastAsia="宋体" w:cs="宋体"/>
          <w:sz w:val="24"/>
          <w:highlight w:val="none"/>
          <w:lang w:eastAsia="zh-CN"/>
        </w:rPr>
        <w:t xml:space="preserve">响应情况及偏离情况逐项填入上表。</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63"/>
        <w:ind w:right="0"/>
        <w:jc w:val="center"/>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、服务承诺</w:t>
      </w:r>
      <w:r>
        <w:rPr>
          <w:rFonts w:hint="eastAsia" w:ascii="宋体" w:hAnsi="宋体" w:eastAsia="宋体" w:cs="宋体"/>
          <w:b/>
          <w:sz w:val="32"/>
          <w:szCs w:val="32"/>
          <w:highlight w:val="none"/>
        </w:rPr>
      </w:r>
      <w:r/>
    </w:p>
    <w:p>
      <w:pPr>
        <w:pStyle w:val="782"/>
        <w:ind w:right="0"/>
        <w:jc w:val="center"/>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680"/>
        <w:ind w:right="0"/>
        <w:keepLines w:val="0"/>
        <w:keepNext w:val="0"/>
        <w:spacing w:line="6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663"/>
        <w:ind w:right="0"/>
        <w:jc w:val="left"/>
        <w:keepLines w:val="0"/>
        <w:keepNext w:val="0"/>
        <w:pageBreakBefore/>
        <w:spacing w:line="520" w:lineRule="exact"/>
        <w:rPr>
          <w:rFonts w:hint="eastAsia" w:ascii="宋体" w:hAnsi="宋体" w:eastAsia="宋体" w:cs="宋体"/>
          <w:b/>
          <w:bCs/>
          <w:sz w:val="32"/>
          <w:szCs w:val="32"/>
          <w:highlight w:val="none"/>
        </w:rPr>
        <w:outlineLvl w:val="9"/>
      </w:pPr>
      <w:r/>
      <w:bookmarkStart w:id="37" w:name="_Toc157775454"/>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rPr>
          <w:rFonts w:hint="eastAsia" w:ascii="宋体" w:hAnsi="宋体" w:eastAsia="宋体" w:cs="宋体"/>
          <w:b/>
          <w:bCs/>
          <w:sz w:val="32"/>
          <w:szCs w:val="32"/>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663"/>
        <w:numPr>
          <w:ilvl w:val="0"/>
          <w:numId w:val="0"/>
        </w:numPr>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sz w:val="24"/>
          <w:highlight w:val="none"/>
        </w:rPr>
      </w:r>
      <w:r/>
    </w:p>
    <w:p>
      <w:pPr>
        <w:pStyle w:val="663"/>
        <w:ind w:right="0"/>
        <w:jc w:val="left"/>
        <w:keepLines w:val="0"/>
        <w:keepNext w:val="0"/>
        <w:pageBreakBefore/>
        <w:spacing w:line="52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rPr>
          <w:rFonts w:hint="eastAsia" w:ascii="宋体" w:hAnsi="宋体" w:eastAsia="宋体" w:cs="宋体"/>
          <w:sz w:val="24"/>
          <w:highlight w:val="none"/>
        </w:rPr>
      </w:r>
      <w:r/>
    </w:p>
    <w:p>
      <w:pPr>
        <w:pStyle w:val="663"/>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rPr>
          <w:rFonts w:hint="eastAsia" w:ascii="宋体" w:hAnsi="宋体" w:eastAsia="宋体" w:cs="宋体"/>
          <w:sz w:val="24"/>
          <w:highlight w:val="none"/>
        </w:rPr>
      </w:r>
      <w:r/>
    </w:p>
    <w:p>
      <w:pPr>
        <w:pStyle w:val="663"/>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63"/>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63"/>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rPr>
      </w:r>
      <w:r/>
    </w:p>
    <w:p>
      <w:pPr>
        <w:pStyle w:val="663"/>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rPr>
          <w:rFonts w:hint="eastAsia" w:ascii="宋体" w:hAnsi="宋体" w:eastAsia="宋体" w:cs="宋体"/>
          <w:b/>
          <w:sz w:val="24"/>
          <w:szCs w:val="24"/>
          <w:highlight w:val="none"/>
        </w:rPr>
      </w:r>
      <w:r/>
    </w:p>
    <w:p>
      <w:pPr>
        <w:pStyle w:val="663"/>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63"/>
        <w:ind w:right="0" w:firstLine="2891"/>
        <w:keepLines w:val="0"/>
        <w:keepNext w:val="0"/>
        <w:spacing w:line="640" w:lineRule="exact"/>
        <w:rPr>
          <w:rFonts w:hint="eastAsia" w:ascii="宋体" w:hAnsi="宋体" w:eastAsia="宋体" w:cs="宋体"/>
          <w:b/>
          <w:bCs/>
          <w:sz w:val="32"/>
          <w:szCs w:val="32"/>
          <w:highlight w:val="none"/>
          <w:lang w:val="zh-CN"/>
        </w:rPr>
      </w:pPr>
      <w:r/>
      <w:bookmarkEnd w:id="37"/>
      <w:r>
        <w:rPr>
          <w:rFonts w:hint="eastAsia" w:ascii="宋体" w:hAnsi="宋体" w:eastAsia="宋体" w:cs="宋体"/>
          <w:b/>
          <w:bCs/>
          <w:sz w:val="32"/>
          <w:szCs w:val="32"/>
          <w:highlight w:val="none"/>
          <w:lang w:val="zh-CN"/>
        </w:rPr>
        <w:t xml:space="preserve">法定代表人资格证明</w:t>
      </w:r>
      <w:r>
        <w:rPr>
          <w:rFonts w:hint="eastAsia" w:ascii="宋体" w:hAnsi="宋体" w:eastAsia="宋体" w:cs="宋体"/>
          <w:b/>
          <w:bCs/>
          <w:sz w:val="32"/>
          <w:szCs w:val="32"/>
          <w:highlight w:val="none"/>
          <w:lang w:val="zh-CN"/>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rPr>
          <w:rFonts w:hint="eastAsia" w:ascii="宋体" w:hAnsi="宋体" w:eastAsia="宋体" w:cs="宋体"/>
          <w:sz w:val="24"/>
          <w:highlight w:val="none"/>
        </w:rPr>
      </w:r>
      <w:r/>
    </w:p>
    <w:p>
      <w:pPr>
        <w:pStyle w:val="663"/>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63"/>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734"/>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63"/>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63"/>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rPr>
          <w:rFonts w:hint="eastAsia" w:ascii="宋体" w:hAnsi="宋体" w:eastAsia="宋体" w:cs="宋体"/>
          <w:b/>
          <w:sz w:val="28"/>
          <w:szCs w:val="28"/>
          <w:highlight w:val="none"/>
        </w:rPr>
      </w:r>
      <w:r/>
    </w:p>
    <w:p>
      <w:pPr>
        <w:pStyle w:val="663"/>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rPr>
          <w:rFonts w:hint="eastAsia" w:ascii="宋体" w:hAnsi="宋体" w:eastAsia="宋体" w:cs="宋体"/>
          <w:b/>
          <w:bCs/>
          <w:sz w:val="32"/>
          <w:szCs w:val="32"/>
          <w:highlight w:val="none"/>
        </w:rPr>
      </w:r>
      <w:r/>
    </w:p>
    <w:p>
      <w:pPr>
        <w:pStyle w:val="663"/>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rPr>
          <w:rFonts w:hint="eastAsia" w:ascii="宋体" w:hAnsi="宋体" w:eastAsia="宋体" w:cs="宋体"/>
          <w:bCs/>
          <w:color w:val="000000"/>
          <w:sz w:val="24"/>
          <w:highlight w:val="none"/>
          <w:lang w:eastAsia="zh-CN"/>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rPr>
          <w:rFonts w:hint="eastAsia" w:ascii="宋体" w:hAnsi="宋体" w:eastAsia="宋体" w:cs="宋体"/>
          <w:color w:val="000000"/>
          <w:sz w:val="24"/>
          <w:highlight w:val="none"/>
        </w:rPr>
      </w:r>
      <w:r/>
    </w:p>
    <w:p>
      <w:pPr>
        <w:pStyle w:val="663"/>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63"/>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63"/>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63"/>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63"/>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pStyle w:val="663"/>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63"/>
        <w:ind w:left="-359" w:right="0" w:firstLine="470"/>
        <w:keepLines w:val="0"/>
        <w:keepNext w:val="0"/>
        <w:spacing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63"/>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rPr>
          <w:rFonts w:hint="eastAsia" w:ascii="宋体" w:hAnsi="宋体" w:eastAsia="宋体" w:cs="宋体"/>
          <w:b/>
          <w:sz w:val="28"/>
          <w:szCs w:val="28"/>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85"/>
        <w:ind w:right="0"/>
        <w:jc w:val="center"/>
        <w:keepLines w:val="0"/>
        <w:keepNext w:val="0"/>
        <w:tabs>
          <w:tab w:val="center" w:pos="4153" w:leader="none"/>
          <w:tab w:val="right" w:pos="8306"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rPr>
          <w:rFonts w:hint="eastAsia" w:ascii="宋体" w:hAnsi="宋体" w:eastAsia="宋体" w:cs="宋体"/>
          <w:b/>
          <w:sz w:val="30"/>
          <w:szCs w:val="30"/>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lang w:eastAsia="zh-CN"/>
        </w:rPr>
        <w:t xml:space="preserve">江苏金湖经济开发区管理委员会</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rPr>
          <w:rFonts w:hint="eastAsia" w:ascii="宋体" w:hAnsi="宋体" w:eastAsia="宋体" w:cs="宋体"/>
          <w:bCs/>
          <w:sz w:val="24"/>
          <w:highlight w:val="none"/>
        </w:rPr>
      </w:r>
      <w:r/>
    </w:p>
    <w:p>
      <w:pPr>
        <w:pStyle w:val="685"/>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85"/>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63"/>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r>
      <w:r/>
    </w:p>
    <w:p>
      <w:pPr>
        <w:pStyle w:val="663"/>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sz w:val="24"/>
          <w:highlight w:val="none"/>
        </w:rPr>
      </w:r>
      <w:r/>
    </w:p>
    <w:p>
      <w:pPr>
        <w:pStyle w:val="663"/>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rPr>
          <w:rFonts w:hint="eastAsia" w:ascii="宋体" w:hAnsi="宋体" w:eastAsia="宋体" w:cs="宋体"/>
          <w:sz w:val="24"/>
          <w:szCs w:val="24"/>
          <w:highlight w:val="none"/>
        </w:rPr>
      </w:r>
      <w:r/>
    </w:p>
    <w:p>
      <w:pPr>
        <w:pStyle w:val="663"/>
        <w:ind w:right="0"/>
        <w:jc w:val="center"/>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中小企业声明函（货物类）</w:t>
      </w:r>
      <w:r>
        <w:rPr>
          <w:rFonts w:hint="eastAsia" w:ascii="宋体" w:hAnsi="宋体" w:eastAsia="宋体" w:cs="宋体"/>
          <w:b/>
          <w:bCs/>
          <w:sz w:val="32"/>
          <w:szCs w:val="32"/>
          <w:highlight w:val="none"/>
        </w:rPr>
      </w:r>
      <w:r/>
    </w:p>
    <w:p>
      <w:pPr>
        <w:pStyle w:val="671"/>
        <w:ind w:left="0" w:right="0" w:firstLine="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采购人</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采购活动，提供的货物全部由符合政策要求的中小企业制造。相关企业的具体情况如下： </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rPr>
          <w:rFonts w:hint="eastAsia" w:ascii="宋体" w:hAnsi="宋体" w:eastAsia="宋体" w:cs="宋体"/>
          <w:bCs/>
          <w:color w:val="000000"/>
          <w:sz w:val="24"/>
          <w:szCs w:val="24"/>
          <w:highlight w:val="none"/>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71"/>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663"/>
        <w:ind w:right="0"/>
        <w:jc w:val="left"/>
        <w:keepLines w:val="0"/>
        <w:keepNext w:val="0"/>
        <w:pageBreakBefore/>
        <w:spacing w:line="640" w:lineRule="exact"/>
        <w:rPr>
          <w:rFonts w:hint="eastAsia" w:ascii="宋体" w:hAnsi="宋体" w:eastAsia="宋体" w:cs="宋体"/>
          <w:b/>
          <w:sz w:val="28"/>
          <w:szCs w:val="28"/>
          <w:highlight w:val="none"/>
        </w:rPr>
        <w:outlineLvl w:val="9"/>
      </w:pPr>
      <w:r/>
      <w:bookmarkStart w:id="38" w:name="_Toc7099"/>
      <w:r>
        <w:rPr>
          <w:rFonts w:hint="eastAsia" w:ascii="宋体" w:hAnsi="宋体" w:eastAsia="宋体" w:cs="宋体"/>
          <w:b/>
          <w:sz w:val="28"/>
          <w:szCs w:val="28"/>
          <w:highlight w:val="none"/>
        </w:rPr>
        <w:t xml:space="preserve">示范格式五</w:t>
      </w:r>
      <w:bookmarkEnd w:id="38"/>
      <w:r>
        <w:rPr>
          <w:rFonts w:hint="eastAsia" w:ascii="宋体" w:hAnsi="宋体" w:eastAsia="宋体" w:cs="宋体"/>
          <w:b/>
          <w:sz w:val="28"/>
          <w:szCs w:val="28"/>
          <w:highlight w:val="none"/>
        </w:rPr>
      </w:r>
      <w:r/>
    </w:p>
    <w:p>
      <w:pPr>
        <w:pStyle w:val="663"/>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39" w:name="_Toc7212"/>
      <w:r>
        <w:rPr>
          <w:rFonts w:hint="eastAsia" w:ascii="宋体" w:hAnsi="宋体" w:eastAsia="宋体" w:cs="宋体"/>
          <w:b/>
          <w:bCs/>
          <w:color w:val="000000"/>
          <w:sz w:val="32"/>
          <w:szCs w:val="32"/>
          <w:highlight w:val="none"/>
        </w:rPr>
        <w:t xml:space="preserve">残疾人福利性单位声明函</w:t>
      </w:r>
      <w:bookmarkEnd w:id="39"/>
      <w:r>
        <w:rPr>
          <w:rFonts w:hint="eastAsia" w:ascii="宋体" w:hAnsi="宋体" w:eastAsia="宋体" w:cs="宋体"/>
          <w:sz w:val="32"/>
          <w:szCs w:val="32"/>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 民政部 中国残疾人联合会关于促进残疾人就业政府采购政策的通知》（财库〔2017〕141号）规定的划分标准，本公司为残疾人福利性企业。</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63"/>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rPr>
          <w:rFonts w:hint="eastAsia" w:ascii="宋体" w:hAnsi="宋体" w:eastAsia="宋体" w:cs="宋体"/>
          <w:sz w:val="24"/>
          <w:szCs w:val="24"/>
          <w:highlight w:val="none"/>
        </w:rPr>
      </w:r>
      <w:r/>
    </w:p>
    <w:p>
      <w:pPr>
        <w:pStyle w:val="663"/>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63"/>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pStyle w:val="663"/>
        <w:ind w:right="0"/>
        <w:jc w:val="left"/>
        <w:keepLines w:val="0"/>
        <w:keepNext w:val="0"/>
        <w:pageBreakBefore/>
        <w:spacing w:line="640" w:lineRule="exact"/>
        <w:rPr>
          <w:rFonts w:hint="eastAsia" w:ascii="宋体" w:hAnsi="宋体" w:eastAsia="宋体" w:cs="宋体"/>
          <w:highlight w:val="none"/>
        </w:rPr>
        <w:outlineLvl w:val="9"/>
      </w:pPr>
      <w:r/>
      <w:bookmarkStart w:id="40"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40"/>
      <w:r>
        <w:rPr>
          <w:rFonts w:hint="eastAsia" w:ascii="宋体" w:hAnsi="宋体" w:eastAsia="宋体" w:cs="宋体"/>
          <w:highlight w:val="none"/>
        </w:rPr>
      </w:r>
      <w:r/>
    </w:p>
    <w:p>
      <w:pPr>
        <w:pStyle w:val="663"/>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rPr>
          <w:rFonts w:hint="eastAsia" w:ascii="宋体" w:hAnsi="宋体" w:eastAsia="宋体" w:cs="宋体"/>
          <w:b/>
          <w:sz w:val="32"/>
          <w:szCs w:val="32"/>
          <w:highlight w:val="none"/>
        </w:rPr>
      </w:r>
      <w:r/>
    </w:p>
    <w:p>
      <w:pPr>
        <w:pStyle w:val="663"/>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sz w:val="24"/>
          <w:highlight w:val="none"/>
        </w:rPr>
      </w:r>
      <w:r/>
    </w:p>
    <w:p>
      <w:pPr>
        <w:pStyle w:val="663"/>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63"/>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663"/>
        <w:ind w:left="-359" w:right="0" w:firstLine="234"/>
        <w:keepLines w:val="0"/>
        <w:keepNext w:val="0"/>
        <w:spacing w:line="6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pStyle w:val="663"/>
        <w:ind w:right="0"/>
        <w:keepLines w:val="0"/>
        <w:keepNext w:val="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rPr>
          <w:rFonts w:hint="eastAsia" w:ascii="宋体" w:hAnsi="宋体" w:eastAsia="宋体" w:cs="宋体"/>
          <w:b/>
          <w:bCs/>
          <w:color w:val="000000"/>
          <w:sz w:val="32"/>
          <w:szCs w:val="32"/>
          <w:highlight w:val="none"/>
          <w:lang w:val="en-US" w:eastAsia="zh-CN"/>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关于符合本国产品标准的声明函（采购包号：**）</w:t>
      </w:r>
      <w:r>
        <w:rPr>
          <w:rFonts w:hint="eastAsia" w:ascii="宋体" w:hAnsi="宋体" w:eastAsia="宋体" w:cs="宋体"/>
          <w:b/>
          <w:bCs/>
          <w:color w:val="000000"/>
          <w:sz w:val="32"/>
          <w:szCs w:val="32"/>
          <w:highlight w:val="none"/>
        </w:rPr>
      </w:r>
      <w:r/>
    </w:p>
    <w:p>
      <w:pPr>
        <w:pStyle w:val="6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Style w:val="697"/>
          <w:rFonts w:hint="eastAsia" w:ascii="宋体" w:hAnsi="宋体" w:eastAsia="宋体" w:cs="宋体"/>
          <w:i w:val="0"/>
          <w:color w:val="000000"/>
          <w:sz w:val="24"/>
          <w:szCs w:val="24"/>
          <w:u w:val="single"/>
          <w:shd w:val="clear" w:color="auto" w:fill="ffffff"/>
        </w:rPr>
        <w:t xml:space="preserve">（产品名称1）</w:t>
      </w:r>
      <w:r>
        <w:rPr>
          <w:rStyle w:val="697"/>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697"/>
          <w:rFonts w:hint="eastAsia" w:ascii="宋体" w:hAnsi="宋体" w:eastAsia="宋体" w:cs="宋体"/>
          <w:i w:val="0"/>
          <w:color w:val="000000"/>
          <w:sz w:val="24"/>
          <w:szCs w:val="24"/>
          <w:u w:val="single"/>
          <w:shd w:val="clear" w:color="auto" w:fill="ffffff"/>
        </w:rPr>
        <w:t xml:space="preserve">（厂名）</w:t>
      </w:r>
      <w:r>
        <w:rPr>
          <w:rStyle w:val="697"/>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69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Style w:val="697"/>
          <w:rFonts w:hint="eastAsia" w:ascii="宋体" w:hAnsi="宋体" w:eastAsia="宋体" w:cs="宋体"/>
          <w:i w:val="0"/>
          <w:strike/>
          <w:color w:val="000000"/>
          <w:sz w:val="24"/>
          <w:szCs w:val="24"/>
          <w:u w:val="single"/>
          <w:shd w:val="clear" w:color="auto" w:fill="ffffff"/>
        </w:rPr>
        <w:t xml:space="preserve">（规定比例）</w:t>
      </w:r>
      <w:r>
        <w:rPr>
          <w:rStyle w:val="697"/>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（关键工序）</w:t>
      </w:r>
      <w:r>
        <w:rPr>
          <w:rStyle w:val="697"/>
          <w:rFonts w:hint="eastAsia" w:ascii="宋体" w:hAnsi="宋体" w:eastAsia="宋体" w:cs="宋体"/>
          <w:i w:val="0"/>
          <w:strike/>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Style w:val="69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697"/>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69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697"/>
          <w:rFonts w:hint="eastAsia" w:ascii="宋体" w:hAnsi="宋体" w:eastAsia="宋体" w:cs="宋体"/>
          <w:i w:val="0"/>
          <w:strike/>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横线</w:t>
      </w:r>
      <w:r>
        <w:rPr>
          <w:rFonts w:hint="eastAsia" w:ascii="宋体" w:hAnsi="宋体" w:eastAsia="宋体" w:cs="宋体"/>
          <w:color w:val="000000"/>
          <w:sz w:val="24"/>
          <w:szCs w:val="24"/>
          <w:shd w:val="clear" w:color="auto" w:fill="ffffff"/>
        </w:rPr>
        <w:t xml:space="preserve">划除的地方无需填写。</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华文彩云">
    <w:panose1 w:val="02010800040101010101"/>
  </w:font>
  <w:font w:name="Wingdings">
    <w:panose1 w:val="05000000000000000000"/>
  </w:font>
  <w:font w:name="Segoe Print">
    <w:panose1 w:val="02000600000000000000"/>
  </w:font>
  <w:font w:name="Tahoma">
    <w:panose1 w:val="020B0604030504040204"/>
  </w:font>
  <w:font w:name="方正仿宋简体">
    <w:panose1 w:val="020B0503020202020204"/>
  </w:font>
  <w:font w:name="Calibri">
    <w:panose1 w:val="020F0502020204030204"/>
  </w:font>
  <w:font w:name="Courier New">
    <w:panose1 w:val="02070309020205020404"/>
  </w:font>
  <w:font w:name="Verdana">
    <w:panose1 w:val="020B0604030504040204"/>
  </w:font>
  <w:font w:name="黑体">
    <w:panose1 w:val="02010609060101010101"/>
  </w:font>
  <w:font w:name="华文行楷">
    <w:panose1 w:val="02010800040101010101"/>
  </w:font>
  <w:font w:name="仿宋">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end"/>
    </w:r>
    <w:r>
      <w:rPr>
        <w:rStyle w:val="695"/>
      </w:rPr>
    </w:r>
    <w:r/>
  </w:p>
  <w:p>
    <w:pPr>
      <w:pStyle w:val="6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separate"/>
    </w:r>
    <w:r>
      <w:rPr>
        <w:rStyle w:val="695"/>
      </w:rPr>
      <w:t xml:space="preserve">20</w:t>
    </w:r>
    <w:r>
      <w:fldChar w:fldCharType="end"/>
    </w:r>
    <w:r>
      <w:rPr>
        <w:rStyle w:val="695"/>
      </w:rPr>
    </w:r>
    <w:r/>
  </w:p>
  <w:p>
    <w:pPr>
      <w:pStyle w:val="6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64"/>
      <w:isLgl w:val="false"/>
      <w:suff w:val="tab"/>
      <w:lvlText w:val="%1"/>
      <w:lvlJc w:val="left"/>
      <w:pPr>
        <w:pStyle w:val="663"/>
        <w:ind w:left="432" w:hanging="432"/>
        <w:tabs>
          <w:tab w:val="num" w:pos="432" w:leader="none"/>
        </w:tabs>
      </w:pPr>
    </w:lvl>
    <w:lvl w:ilvl="1">
      <w:start w:val="1"/>
      <w:numFmt w:val="decimal"/>
      <w:isLgl w:val="false"/>
      <w:suff w:val="tab"/>
      <w:lvlText w:val="%1.%2"/>
      <w:lvlJc w:val="left"/>
      <w:pPr>
        <w:pStyle w:val="663"/>
        <w:ind w:left="576" w:hanging="576"/>
        <w:tabs>
          <w:tab w:val="num" w:pos="576" w:leader="none"/>
        </w:tabs>
      </w:pPr>
    </w:lvl>
    <w:lvl w:ilvl="2">
      <w:start w:val="1"/>
      <w:numFmt w:val="decimal"/>
      <w:pStyle w:val="665"/>
      <w:isLgl w:val="false"/>
      <w:suff w:val="tab"/>
      <w:lvlText w:val="%1.%2.%3"/>
      <w:lvlJc w:val="left"/>
      <w:pPr>
        <w:pStyle w:val="663"/>
        <w:ind w:left="720" w:hanging="720"/>
        <w:tabs>
          <w:tab w:val="num" w:pos="720" w:leader="none"/>
        </w:tabs>
      </w:pPr>
    </w:lvl>
    <w:lvl w:ilvl="3">
      <w:start w:val="1"/>
      <w:numFmt w:val="decimal"/>
      <w:isLgl w:val="false"/>
      <w:suff w:val="tab"/>
      <w:lvlText w:val="%1.%2.%3.%4"/>
      <w:lvlJc w:val="left"/>
      <w:pPr>
        <w:pStyle w:val="663"/>
        <w:ind w:left="864" w:hanging="864"/>
        <w:tabs>
          <w:tab w:val="num" w:pos="864" w:leader="none"/>
        </w:tabs>
      </w:pPr>
    </w:lvl>
    <w:lvl w:ilvl="4">
      <w:start w:val="1"/>
      <w:numFmt w:val="decimal"/>
      <w:isLgl w:val="false"/>
      <w:suff w:val="tab"/>
      <w:lvlText w:val="%1.%2.%3.%4.%5"/>
      <w:lvlJc w:val="left"/>
      <w:pPr>
        <w:pStyle w:val="663"/>
        <w:ind w:left="1008" w:hanging="1008"/>
        <w:tabs>
          <w:tab w:val="num" w:pos="1008" w:leader="none"/>
        </w:tabs>
      </w:pPr>
    </w:lvl>
    <w:lvl w:ilvl="5">
      <w:start w:val="1"/>
      <w:numFmt w:val="decimal"/>
      <w:isLgl w:val="false"/>
      <w:suff w:val="tab"/>
      <w:lvlText w:val="%1.%2.%3.%4.%5.%6"/>
      <w:lvlJc w:val="left"/>
      <w:pPr>
        <w:pStyle w:val="663"/>
        <w:ind w:left="1152" w:hanging="1152"/>
        <w:tabs>
          <w:tab w:val="num" w:pos="1152" w:leader="none"/>
        </w:tabs>
      </w:pPr>
    </w:lvl>
    <w:lvl w:ilvl="6">
      <w:start w:val="1"/>
      <w:numFmt w:val="decimal"/>
      <w:isLgl w:val="false"/>
      <w:suff w:val="tab"/>
      <w:lvlText w:val="%1.%2.%3.%4.%5.%6.%7"/>
      <w:lvlJc w:val="left"/>
      <w:pPr>
        <w:pStyle w:val="663"/>
        <w:ind w:left="1296" w:hanging="1296"/>
        <w:tabs>
          <w:tab w:val="num" w:pos="1296" w:leader="none"/>
        </w:tabs>
      </w:pPr>
    </w:lvl>
    <w:lvl w:ilvl="7">
      <w:start w:val="1"/>
      <w:numFmt w:val="decimal"/>
      <w:isLgl w:val="false"/>
      <w:suff w:val="tab"/>
      <w:lvlText w:val="%1.%2.%3.%4.%5.%6.%7.%8"/>
      <w:lvlJc w:val="left"/>
      <w:pPr>
        <w:pStyle w:val="663"/>
        <w:ind w:left="1440" w:hanging="1440"/>
        <w:tabs>
          <w:tab w:val="num" w:pos="1440" w:leader="none"/>
        </w:tabs>
      </w:pPr>
    </w:lvl>
    <w:lvl w:ilvl="8">
      <w:start w:val="1"/>
      <w:numFmt w:val="decimal"/>
      <w:isLgl w:val="false"/>
      <w:suff w:val="tab"/>
      <w:lvlText w:val="%1.%2.%3.%4.%5.%6.%7.%8.%9"/>
      <w:lvlJc w:val="left"/>
      <w:pPr>
        <w:pStyle w:val="663"/>
        <w:ind w:left="1584" w:hanging="1584"/>
        <w:tabs>
          <w:tab w:val="num" w:pos="1584" w:leader="none"/>
        </w:tabs>
      </w:pPr>
    </w:lvl>
  </w:abstractNum>
  <w:abstractNum w:abstractNumId="5">
    <w:multiLevelType w:val="hybridMultilevel"/>
    <w:lvl w:ilvl="0">
      <w:start w:val="1"/>
      <w:numFmt w:val="chineseCounting"/>
      <w:isLgl w:val="false"/>
      <w:suff w:val="nothing"/>
      <w:lvlText w:val="%1、"/>
      <w:lvlJc w:val="left"/>
      <w:pPr>
        <w:pStyle w:val="6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3"/>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3"/>
    <w:next w:val="6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3"/>
    <w:next w:val="6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3"/>
    <w:next w:val="6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3"/>
    <w:next w:val="6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3"/>
    <w:next w:val="663"/>
    <w:uiPriority w:val="39"/>
    <w:unhideWhenUsed/>
    <w:pPr>
      <w:ind w:left="0" w:right="0" w:firstLine="0"/>
      <w:spacing w:after="57"/>
    </w:p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next w:val="663"/>
    <w:link w:val="663"/>
    <w:qFormat/>
    <w:pPr>
      <w:jc w:val="both"/>
      <w:widowControl w:val="off"/>
    </w:pPr>
    <w:rPr>
      <w:sz w:val="21"/>
      <w:szCs w:val="24"/>
      <w:lang w:val="en-US" w:eastAsia="zh-CN" w:bidi="ar-SA"/>
    </w:rPr>
  </w:style>
  <w:style w:type="paragraph" w:styleId="664">
    <w:name w:val="标题 1"/>
    <w:basedOn w:val="663"/>
    <w:next w:val="663"/>
    <w:link w:val="663"/>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65">
    <w:name w:val="标题 3"/>
    <w:basedOn w:val="663"/>
    <w:next w:val="671"/>
    <w:link w:val="66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66">
    <w:name w:val="标题 4"/>
    <w:basedOn w:val="663"/>
    <w:next w:val="663"/>
    <w:link w:val="663"/>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paragraph" w:styleId="667">
    <w:name w:val="标题 5"/>
    <w:basedOn w:val="663"/>
    <w:next w:val="663"/>
    <w:link w:val="663"/>
    <w:uiPriority w:val="1"/>
    <w:qFormat/>
    <w:pPr>
      <w:ind w:left="522"/>
      <w:outlineLvl w:val="4"/>
    </w:pPr>
    <w:rPr>
      <w:rFonts w:ascii="仿宋" w:hAnsi="仿宋" w:eastAsia="仿宋" w:cs="仿宋"/>
      <w:b/>
      <w:bCs/>
      <w:sz w:val="28"/>
      <w:szCs w:val="28"/>
      <w:lang w:val="zh-CN" w:eastAsia="zh-CN" w:bidi="zh-CN"/>
    </w:rPr>
  </w:style>
  <w:style w:type="paragraph" w:styleId="668">
    <w:name w:val="标题 8"/>
    <w:basedOn w:val="663"/>
    <w:next w:val="663"/>
    <w:link w:val="663"/>
    <w:qFormat/>
    <w:pPr>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4"/>
    </w:rPr>
  </w:style>
  <w:style w:type="character" w:styleId="669">
    <w:name w:val="默认段落字体"/>
    <w:next w:val="669"/>
    <w:link w:val="663"/>
    <w:semiHidden/>
  </w:style>
  <w:style w:type="table" w:styleId="670">
    <w:name w:val="普通表格"/>
    <w:next w:val="670"/>
    <w:link w:val="663"/>
    <w:semiHidden/>
    <w:tblPr/>
  </w:style>
  <w:style w:type="paragraph" w:styleId="671">
    <w:name w:val="正文缩进"/>
    <w:basedOn w:val="663"/>
    <w:next w:val="671"/>
    <w:link w:val="672"/>
    <w:pPr>
      <w:ind w:firstLine="420"/>
    </w:pPr>
  </w:style>
  <w:style w:type="character" w:styleId="672">
    <w:name w:val="正文缩进 Char"/>
    <w:next w:val="672"/>
    <w:link w:val="671"/>
    <w:rPr>
      <w:sz w:val="21"/>
      <w:szCs w:val="24"/>
    </w:rPr>
  </w:style>
  <w:style w:type="paragraph" w:styleId="673">
    <w:name w:val="文档结构图"/>
    <w:basedOn w:val="663"/>
    <w:next w:val="673"/>
    <w:link w:val="663"/>
    <w:semiHidden/>
    <w:pPr>
      <w:shd w:val="clear" w:color="auto" w:fill="000080"/>
    </w:pPr>
  </w:style>
  <w:style w:type="paragraph" w:styleId="674">
    <w:name w:val="正文文本 3"/>
    <w:basedOn w:val="663"/>
    <w:next w:val="674"/>
    <w:link w:val="663"/>
    <w:pPr>
      <w:jc w:val="center"/>
    </w:pPr>
    <w:rPr>
      <w:rFonts w:eastAsia="黑体"/>
      <w:sz w:val="72"/>
    </w:rPr>
  </w:style>
  <w:style w:type="paragraph" w:styleId="675">
    <w:name w:val="正文文本"/>
    <w:basedOn w:val="663"/>
    <w:next w:val="675"/>
    <w:link w:val="663"/>
    <w:pPr>
      <w:jc w:val="center"/>
    </w:pPr>
    <w:rPr>
      <w:rFonts w:eastAsia="仿宋"/>
      <w:sz w:val="28"/>
    </w:rPr>
  </w:style>
  <w:style w:type="paragraph" w:styleId="676">
    <w:name w:val="正文文本缩进"/>
    <w:basedOn w:val="663"/>
    <w:next w:val="678"/>
    <w:link w:val="677"/>
    <w:pPr>
      <w:ind w:left="420"/>
      <w:spacing w:after="120"/>
    </w:pPr>
  </w:style>
  <w:style w:type="character" w:styleId="677">
    <w:name w:val="正文文本缩进 Char"/>
    <w:next w:val="677"/>
    <w:link w:val="676"/>
    <w:rPr>
      <w:sz w:val="21"/>
      <w:szCs w:val="24"/>
    </w:rPr>
  </w:style>
  <w:style w:type="paragraph" w:styleId="678">
    <w:name w:val="寄信人地址"/>
    <w:basedOn w:val="663"/>
    <w:next w:val="678"/>
    <w:link w:val="663"/>
    <w:qFormat/>
    <w:rPr>
      <w:rFonts w:ascii="Arial" w:hAnsi="Arial" w:eastAsia="宋体" w:cs="Times New Roman"/>
    </w:rPr>
  </w:style>
  <w:style w:type="paragraph" w:styleId="679">
    <w:name w:val="文本块"/>
    <w:basedOn w:val="663"/>
    <w:next w:val="679"/>
    <w:link w:val="663"/>
    <w:pPr>
      <w:ind w:left="420" w:right="33"/>
      <w:jc w:val="left"/>
    </w:pPr>
    <w:rPr>
      <w:sz w:val="24"/>
      <w:szCs w:val="20"/>
    </w:rPr>
  </w:style>
  <w:style w:type="paragraph" w:styleId="680">
    <w:name w:val="纯文本"/>
    <w:basedOn w:val="663"/>
    <w:next w:val="680"/>
    <w:link w:val="681"/>
    <w:rPr>
      <w:rFonts w:ascii="宋体" w:hAnsi="Courier New"/>
      <w:szCs w:val="20"/>
    </w:rPr>
  </w:style>
  <w:style w:type="character" w:styleId="681">
    <w:name w:val="纯文本 Char"/>
    <w:next w:val="681"/>
    <w:link w:val="680"/>
    <w:rPr>
      <w:rFonts w:ascii="宋体" w:hAnsi="Courier New" w:eastAsia="宋体"/>
      <w:sz w:val="21"/>
      <w:lang w:val="en-US" w:eastAsia="zh-CN" w:bidi="ar-SA"/>
    </w:rPr>
  </w:style>
  <w:style w:type="paragraph" w:styleId="682">
    <w:name w:val="日期"/>
    <w:basedOn w:val="663"/>
    <w:next w:val="663"/>
    <w:link w:val="663"/>
    <w:pPr>
      <w:ind w:left="100"/>
    </w:pPr>
    <w:rPr>
      <w:rFonts w:ascii="黑体" w:eastAsia="黑体"/>
      <w:sz w:val="72"/>
    </w:rPr>
  </w:style>
  <w:style w:type="paragraph" w:styleId="683">
    <w:name w:val="正文文本缩进 2"/>
    <w:basedOn w:val="663"/>
    <w:next w:val="683"/>
    <w:link w:val="663"/>
    <w:pPr>
      <w:ind w:right="-2" w:firstLine="540"/>
      <w:tabs>
        <w:tab w:val="left" w:pos="9741" w:leader="none"/>
      </w:tabs>
    </w:pPr>
    <w:rPr>
      <w:rFonts w:eastAsia="仿宋"/>
      <w:sz w:val="28"/>
    </w:rPr>
  </w:style>
  <w:style w:type="paragraph" w:styleId="684">
    <w:name w:val="批注框文本"/>
    <w:basedOn w:val="663"/>
    <w:next w:val="684"/>
    <w:link w:val="663"/>
    <w:semiHidden/>
    <w:rPr>
      <w:sz w:val="18"/>
      <w:szCs w:val="18"/>
    </w:rPr>
  </w:style>
  <w:style w:type="paragraph" w:styleId="685">
    <w:name w:val="页脚"/>
    <w:basedOn w:val="663"/>
    <w:next w:val="685"/>
    <w:link w:val="663"/>
    <w:pPr>
      <w:jc w:val="left"/>
      <w:tabs>
        <w:tab w:val="center" w:pos="4153" w:leader="none"/>
        <w:tab w:val="right" w:pos="8306" w:leader="none"/>
      </w:tabs>
    </w:pPr>
    <w:rPr>
      <w:sz w:val="18"/>
      <w:szCs w:val="18"/>
    </w:rPr>
  </w:style>
  <w:style w:type="paragraph" w:styleId="686">
    <w:name w:val="页眉"/>
    <w:basedOn w:val="663"/>
    <w:next w:val="686"/>
    <w:link w:val="663"/>
    <w:pPr>
      <w:jc w:val="center"/>
      <w:tabs>
        <w:tab w:val="center" w:pos="4153" w:leader="none"/>
        <w:tab w:val="right" w:pos="8306" w:leader="none"/>
      </w:tabs>
      <w:pBdr>
        <w:bottom w:val="single" w:color="000000" w:sz="6" w:space="1"/>
      </w:pBdr>
    </w:pPr>
    <w:rPr>
      <w:sz w:val="18"/>
      <w:szCs w:val="18"/>
    </w:rPr>
  </w:style>
  <w:style w:type="paragraph" w:styleId="687">
    <w:name w:val="目录 1"/>
    <w:basedOn w:val="663"/>
    <w:next w:val="663"/>
    <w:link w:val="663"/>
  </w:style>
  <w:style w:type="paragraph" w:styleId="688">
    <w:name w:val="正文文本缩进 3"/>
    <w:basedOn w:val="663"/>
    <w:next w:val="688"/>
    <w:link w:val="663"/>
    <w:pPr>
      <w:ind w:firstLine="435"/>
    </w:pPr>
    <w:rPr>
      <w:rFonts w:ascii="仿宋" w:hAnsi="宋体" w:eastAsia="仿宋"/>
      <w:sz w:val="28"/>
    </w:rPr>
  </w:style>
  <w:style w:type="paragraph" w:styleId="689">
    <w:name w:val="正文文本 2"/>
    <w:basedOn w:val="663"/>
    <w:next w:val="689"/>
    <w:link w:val="663"/>
    <w:rPr>
      <w:rFonts w:ascii="仿宋" w:eastAsia="仿宋"/>
      <w:sz w:val="28"/>
    </w:rPr>
  </w:style>
  <w:style w:type="paragraph" w:styleId="690">
    <w:name w:val="普通(网站)"/>
    <w:basedOn w:val="663"/>
    <w:next w:val="690"/>
    <w:link w:val="663"/>
    <w:uiPriority w:val="99"/>
    <w:unhideWhenUsed/>
    <w:pPr>
      <w:jc w:val="left"/>
      <w:spacing w:before="100" w:beforeAutospacing="1" w:after="100" w:afterAutospacing="1"/>
    </w:pPr>
    <w:rPr>
      <w:sz w:val="24"/>
      <w:szCs w:val="20"/>
    </w:rPr>
  </w:style>
  <w:style w:type="paragraph" w:styleId="691">
    <w:name w:val="正文首行缩进"/>
    <w:basedOn w:val="675"/>
    <w:next w:val="691"/>
    <w:link w:val="663"/>
    <w:qFormat/>
    <w:pPr>
      <w:ind w:firstLine="420"/>
      <w:spacing w:after="120"/>
    </w:pPr>
    <w:rPr>
      <w:rFonts w:ascii="Times New Roman" w:hAnsi="Times New Roman" w:eastAsia="宋体"/>
      <w:sz w:val="21"/>
      <w:szCs w:val="24"/>
    </w:rPr>
  </w:style>
  <w:style w:type="paragraph" w:styleId="692">
    <w:name w:val="正文首行缩进 2"/>
    <w:basedOn w:val="676"/>
    <w:next w:val="663"/>
    <w:link w:val="693"/>
    <w:pPr>
      <w:ind w:firstLine="420"/>
    </w:pPr>
  </w:style>
  <w:style w:type="character" w:styleId="693">
    <w:name w:val="正文首行缩进 2 Char"/>
    <w:basedOn w:val="677"/>
    <w:next w:val="693"/>
    <w:link w:val="692"/>
  </w:style>
  <w:style w:type="table" w:styleId="694">
    <w:name w:val="网格型"/>
    <w:basedOn w:val="670"/>
    <w:next w:val="694"/>
    <w:link w:val="66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5">
    <w:name w:val="页码"/>
    <w:next w:val="695"/>
    <w:link w:val="663"/>
  </w:style>
  <w:style w:type="character" w:styleId="696">
    <w:name w:val="已访问的超链接"/>
    <w:next w:val="696"/>
    <w:link w:val="663"/>
    <w:rPr>
      <w:color w:val="800080"/>
      <w:u w:val="single"/>
    </w:rPr>
  </w:style>
  <w:style w:type="character" w:styleId="697">
    <w:name w:val="强调"/>
    <w:next w:val="697"/>
    <w:link w:val="663"/>
    <w:qFormat/>
    <w:rPr>
      <w:i/>
    </w:rPr>
  </w:style>
  <w:style w:type="character" w:styleId="698">
    <w:name w:val="超链接"/>
    <w:basedOn w:val="669"/>
    <w:next w:val="698"/>
    <w:link w:val="663"/>
    <w:rPr>
      <w:color w:val="0000ff"/>
      <w:u w:val="single"/>
    </w:rPr>
  </w:style>
  <w:style w:type="paragraph" w:styleId="699">
    <w:name w:val="标题 31"/>
    <w:basedOn w:val="663"/>
    <w:next w:val="663"/>
    <w:link w:val="663"/>
    <w:uiPriority w:val="9"/>
    <w:qFormat/>
    <w:pPr>
      <w:keepLines/>
      <w:keepNext/>
      <w:spacing w:before="260" w:after="260" w:line="413" w:lineRule="auto"/>
      <w:outlineLvl w:val="2"/>
    </w:pPr>
    <w:rPr>
      <w:rFonts w:ascii="Arial" w:hAnsi="Arial"/>
      <w:b/>
      <w:sz w:val="32"/>
      <w:szCs w:val="20"/>
    </w:rPr>
  </w:style>
  <w:style w:type="paragraph" w:styleId="700">
    <w:name w:val="正文1"/>
    <w:basedOn w:val="663"/>
    <w:next w:val="663"/>
    <w:link w:val="663"/>
    <w:qFormat/>
    <w:pPr>
      <w:contextualSpacing/>
      <w:ind w:firstLine="200"/>
      <w:jc w:val="left"/>
      <w:spacing w:before="120" w:after="120"/>
      <w:widowControl/>
    </w:pPr>
    <w:rPr>
      <w:rFonts w:ascii="Calibri" w:hAnsi="Calibri" w:eastAsia="仿宋" w:cs="Times New Roman"/>
      <w:szCs w:val="21"/>
    </w:rPr>
  </w:style>
  <w:style w:type="character" w:styleId="701">
    <w:name w:val="纯文本 Char1, Char Char,普通文字 Char Char,纯文本 Char Char,小 Char1"/>
    <w:next w:val="701"/>
    <w:link w:val="663"/>
    <w:rPr>
      <w:rFonts w:ascii="宋体" w:hAnsi="Courier New"/>
      <w:sz w:val="21"/>
    </w:rPr>
  </w:style>
  <w:style w:type="paragraph" w:styleId="702">
    <w:name w:val="font6"/>
    <w:basedOn w:val="663"/>
    <w:next w:val="702"/>
    <w:link w:val="663"/>
    <w:pPr>
      <w:jc w:val="left"/>
      <w:spacing w:before="100" w:beforeAutospacing="1" w:after="100" w:afterAutospacing="1"/>
      <w:widowControl/>
    </w:pPr>
    <w:rPr>
      <w:rFonts w:eastAsia="宋体"/>
      <w:sz w:val="18"/>
      <w:szCs w:val="18"/>
    </w:rPr>
  </w:style>
  <w:style w:type="paragraph" w:styleId="703">
    <w:name w:val="列出段落"/>
    <w:basedOn w:val="663"/>
    <w:next w:val="703"/>
    <w:link w:val="663"/>
    <w:uiPriority w:val="99"/>
    <w:qFormat/>
    <w:pPr>
      <w:ind w:firstLine="420"/>
    </w:pPr>
  </w:style>
  <w:style w:type="paragraph" w:styleId="704">
    <w:name w:val="xl43"/>
    <w:basedOn w:val="663"/>
    <w:next w:val="704"/>
    <w:link w:val="663"/>
    <w:pPr>
      <w:jc w:val="left"/>
      <w:spacing w:before="100" w:beforeAutospacing="1" w:after="100" w:afterAutospacing="1"/>
      <w:widowControl/>
    </w:pPr>
    <w:rPr>
      <w:rFonts w:ascii="宋体" w:hAnsi="宋体" w:eastAsia="宋体"/>
      <w:sz w:val="24"/>
    </w:rPr>
  </w:style>
  <w:style w:type="paragraph" w:styleId="705">
    <w:name w:val="xl68"/>
    <w:basedOn w:val="663"/>
    <w:next w:val="705"/>
    <w:link w:val="663"/>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06">
    <w:name w:val="xl53"/>
    <w:basedOn w:val="663"/>
    <w:next w:val="706"/>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707">
    <w:name w:val="xl29"/>
    <w:basedOn w:val="663"/>
    <w:next w:val="707"/>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08">
    <w:name w:val="xl46"/>
    <w:basedOn w:val="663"/>
    <w:next w:val="708"/>
    <w:link w:val="663"/>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709">
    <w:name w:val="xl39"/>
    <w:basedOn w:val="663"/>
    <w:next w:val="709"/>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10">
    <w:name w:val="xl59"/>
    <w:basedOn w:val="663"/>
    <w:next w:val="710"/>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11">
    <w:name w:val="xl33"/>
    <w:basedOn w:val="663"/>
    <w:next w:val="711"/>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12">
    <w:name w:val="xl86"/>
    <w:basedOn w:val="663"/>
    <w:next w:val="712"/>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13">
    <w:name w:val="font7"/>
    <w:basedOn w:val="663"/>
    <w:next w:val="713"/>
    <w:link w:val="663"/>
    <w:pPr>
      <w:jc w:val="left"/>
      <w:spacing w:before="100" w:beforeAutospacing="1" w:after="100" w:afterAutospacing="1"/>
      <w:widowControl/>
    </w:pPr>
    <w:rPr>
      <w:rFonts w:eastAsia="宋体"/>
      <w:sz w:val="18"/>
      <w:szCs w:val="18"/>
    </w:rPr>
  </w:style>
  <w:style w:type="paragraph" w:styleId="714">
    <w:name w:val="Char Char Char Char"/>
    <w:basedOn w:val="673"/>
    <w:next w:val="714"/>
    <w:link w:val="663"/>
    <w:pPr>
      <w:spacing w:line="360" w:lineRule="auto"/>
    </w:pPr>
    <w:rPr>
      <w:rFonts w:ascii="Tahoma" w:hAnsi="Tahoma"/>
      <w:sz w:val="24"/>
    </w:rPr>
  </w:style>
  <w:style w:type="paragraph" w:styleId="715">
    <w:name w:val="xl67"/>
    <w:basedOn w:val="663"/>
    <w:next w:val="715"/>
    <w:link w:val="66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16">
    <w:name w:val="xl45"/>
    <w:basedOn w:val="663"/>
    <w:next w:val="716"/>
    <w:link w:val="663"/>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717">
    <w:name w:val="xl72"/>
    <w:basedOn w:val="663"/>
    <w:next w:val="717"/>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18">
    <w:name w:val="标书正文格式"/>
    <w:next w:val="718"/>
    <w:link w:val="663"/>
    <w:pPr>
      <w:ind w:firstLine="480"/>
      <w:jc w:val="both"/>
      <w:spacing w:line="360" w:lineRule="auto"/>
    </w:pPr>
    <w:rPr>
      <w:rFonts w:ascii="宋体" w:hAnsi="宋体"/>
      <w:sz w:val="24"/>
      <w:szCs w:val="24"/>
      <w:lang w:val="en-US" w:eastAsia="zh-CN" w:bidi="ar-SA"/>
    </w:rPr>
  </w:style>
  <w:style w:type="paragraph" w:styleId="719">
    <w:name w:val="xl60"/>
    <w:basedOn w:val="663"/>
    <w:next w:val="719"/>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20">
    <w:name w:val="xl84"/>
    <w:basedOn w:val="663"/>
    <w:next w:val="720"/>
    <w:link w:val="66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21">
    <w:name w:val="xl57"/>
    <w:basedOn w:val="663"/>
    <w:next w:val="721"/>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722">
    <w:name w:val="xl69"/>
    <w:basedOn w:val="663"/>
    <w:next w:val="722"/>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23">
    <w:name w:val="font12"/>
    <w:basedOn w:val="663"/>
    <w:next w:val="723"/>
    <w:link w:val="663"/>
    <w:pPr>
      <w:jc w:val="left"/>
      <w:spacing w:before="100" w:beforeAutospacing="1" w:after="100" w:afterAutospacing="1"/>
      <w:widowControl/>
    </w:pPr>
    <w:rPr>
      <w:rFonts w:eastAsia="宋体"/>
      <w:color w:val="333333"/>
      <w:sz w:val="18"/>
      <w:szCs w:val="18"/>
    </w:rPr>
  </w:style>
  <w:style w:type="paragraph" w:styleId="724">
    <w:name w:val="font8"/>
    <w:basedOn w:val="663"/>
    <w:next w:val="724"/>
    <w:link w:val="663"/>
    <w:pPr>
      <w:jc w:val="left"/>
      <w:spacing w:before="100" w:beforeAutospacing="1" w:after="100" w:afterAutospacing="1"/>
      <w:widowControl/>
    </w:pPr>
    <w:rPr>
      <w:rFonts w:eastAsia="宋体"/>
      <w:sz w:val="18"/>
      <w:szCs w:val="18"/>
    </w:rPr>
  </w:style>
  <w:style w:type="paragraph" w:styleId="725">
    <w:name w:val="xl47"/>
    <w:basedOn w:val="663"/>
    <w:next w:val="725"/>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726">
    <w:name w:val=" Char Char Char Char Char Char Char Char"/>
    <w:basedOn w:val="663"/>
    <w:next w:val="726"/>
    <w:link w:val="663"/>
    <w:pPr>
      <w:jc w:val="left"/>
      <w:spacing w:after="160" w:line="240" w:lineRule="exact"/>
      <w:widowControl/>
    </w:pPr>
    <w:rPr>
      <w:rFonts w:ascii="Verdana" w:hAnsi="Verdana"/>
      <w:sz w:val="20"/>
      <w:szCs w:val="20"/>
      <w:lang w:eastAsia="en-US"/>
    </w:rPr>
  </w:style>
  <w:style w:type="paragraph" w:styleId="727">
    <w:name w:val="xl74"/>
    <w:basedOn w:val="663"/>
    <w:next w:val="727"/>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28">
    <w:name w:val="xl77"/>
    <w:basedOn w:val="663"/>
    <w:next w:val="728"/>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729">
    <w:name w:val="xl71"/>
    <w:basedOn w:val="663"/>
    <w:next w:val="729"/>
    <w:link w:val="663"/>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30">
    <w:name w:val="xl75"/>
    <w:basedOn w:val="663"/>
    <w:next w:val="730"/>
    <w:link w:val="663"/>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731">
    <w:name w:val="xl38"/>
    <w:basedOn w:val="663"/>
    <w:next w:val="731"/>
    <w:link w:val="6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32">
    <w:name w:val="xl51"/>
    <w:basedOn w:val="663"/>
    <w:next w:val="732"/>
    <w:link w:val="663"/>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733">
    <w:name w:val="xl78"/>
    <w:basedOn w:val="663"/>
    <w:next w:val="733"/>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734">
    <w:name w:val="普通正文"/>
    <w:basedOn w:val="663"/>
    <w:next w:val="734"/>
    <w:link w:val="663"/>
    <w:pPr>
      <w:ind w:firstLine="480"/>
      <w:jc w:val="left"/>
      <w:spacing w:before="120" w:after="120" w:line="360" w:lineRule="auto"/>
    </w:pPr>
    <w:rPr>
      <w:rFonts w:ascii="Arial" w:hAnsi="Arial"/>
      <w:sz w:val="24"/>
    </w:rPr>
  </w:style>
  <w:style w:type="paragraph" w:styleId="735">
    <w:name w:val="Char"/>
    <w:basedOn w:val="663"/>
    <w:next w:val="735"/>
    <w:link w:val="663"/>
    <w:pPr>
      <w:tabs>
        <w:tab w:val="left" w:pos="360" w:leader="none"/>
      </w:tabs>
    </w:pPr>
    <w:rPr>
      <w:sz w:val="24"/>
    </w:rPr>
  </w:style>
  <w:style w:type="paragraph" w:styleId="736">
    <w:name w:val="xl85"/>
    <w:basedOn w:val="663"/>
    <w:next w:val="736"/>
    <w:link w:val="663"/>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737">
    <w:name w:val="xl81"/>
    <w:basedOn w:val="663"/>
    <w:next w:val="737"/>
    <w:link w:val="663"/>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738">
    <w:name w:val="xl56"/>
    <w:basedOn w:val="663"/>
    <w:next w:val="738"/>
    <w:link w:val="663"/>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39">
    <w:name w:val="xl63"/>
    <w:basedOn w:val="663"/>
    <w:next w:val="739"/>
    <w:link w:val="663"/>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740">
    <w:name w:val="font10"/>
    <w:basedOn w:val="663"/>
    <w:next w:val="740"/>
    <w:link w:val="663"/>
    <w:pPr>
      <w:jc w:val="left"/>
      <w:spacing w:before="100" w:beforeAutospacing="1" w:after="100" w:afterAutospacing="1"/>
      <w:widowControl/>
    </w:pPr>
    <w:rPr>
      <w:rFonts w:eastAsia="宋体"/>
      <w:sz w:val="18"/>
      <w:szCs w:val="18"/>
    </w:rPr>
  </w:style>
  <w:style w:type="paragraph" w:styleId="741">
    <w:name w:val="xl62"/>
    <w:basedOn w:val="663"/>
    <w:next w:val="741"/>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42">
    <w:name w:val="xl32"/>
    <w:basedOn w:val="663"/>
    <w:next w:val="742"/>
    <w:link w:val="6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43">
    <w:name w:val="xl37"/>
    <w:basedOn w:val="663"/>
    <w:next w:val="743"/>
    <w:link w:val="663"/>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44">
    <w:name w:val="xl54"/>
    <w:basedOn w:val="663"/>
    <w:next w:val="744"/>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745">
    <w:name w:val="font11"/>
    <w:basedOn w:val="663"/>
    <w:next w:val="745"/>
    <w:link w:val="663"/>
    <w:pPr>
      <w:jc w:val="left"/>
      <w:spacing w:before="100" w:beforeAutospacing="1" w:after="100" w:afterAutospacing="1"/>
      <w:widowControl/>
    </w:pPr>
    <w:rPr>
      <w:rFonts w:hint="eastAsia" w:ascii="宋体" w:hAnsi="宋体"/>
      <w:color w:val="333333"/>
      <w:sz w:val="18"/>
      <w:szCs w:val="18"/>
    </w:rPr>
  </w:style>
  <w:style w:type="paragraph" w:styleId="746">
    <w:name w:val="xl79"/>
    <w:basedOn w:val="663"/>
    <w:next w:val="746"/>
    <w:link w:val="663"/>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747">
    <w:name w:val="xl42"/>
    <w:basedOn w:val="663"/>
    <w:next w:val="747"/>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748">
    <w:name w:val="xl73"/>
    <w:basedOn w:val="663"/>
    <w:next w:val="748"/>
    <w:link w:val="663"/>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49">
    <w:name w:val="xl36"/>
    <w:basedOn w:val="663"/>
    <w:next w:val="749"/>
    <w:link w:val="663"/>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50">
    <w:name w:val="xl44"/>
    <w:basedOn w:val="663"/>
    <w:next w:val="750"/>
    <w:link w:val="663"/>
    <w:pPr>
      <w:jc w:val="right"/>
      <w:spacing w:before="100" w:beforeAutospacing="1" w:after="100" w:afterAutospacing="1"/>
      <w:widowControl/>
    </w:pPr>
    <w:rPr>
      <w:rFonts w:ascii="宋体" w:hAnsi="宋体" w:eastAsia="宋体"/>
      <w:sz w:val="24"/>
    </w:rPr>
  </w:style>
  <w:style w:type="paragraph" w:styleId="751">
    <w:name w:val="xl35"/>
    <w:basedOn w:val="663"/>
    <w:next w:val="751"/>
    <w:link w:val="663"/>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752">
    <w:name w:val=" Char Char Char Char Char Char Char Char Char Char Char Char Char"/>
    <w:basedOn w:val="663"/>
    <w:next w:val="752"/>
    <w:link w:val="663"/>
    <w:pPr>
      <w:jc w:val="left"/>
      <w:spacing w:after="160" w:line="240" w:lineRule="exact"/>
      <w:widowControl/>
    </w:pPr>
    <w:rPr>
      <w:rFonts w:ascii="Verdana" w:hAnsi="Verdana"/>
      <w:sz w:val="20"/>
      <w:szCs w:val="20"/>
      <w:lang w:eastAsia="en-US"/>
    </w:rPr>
  </w:style>
  <w:style w:type="paragraph" w:styleId="753">
    <w:name w:val="xl64"/>
    <w:basedOn w:val="663"/>
    <w:next w:val="753"/>
    <w:link w:val="663"/>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754">
    <w:name w:val="xl41"/>
    <w:basedOn w:val="663"/>
    <w:next w:val="754"/>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55">
    <w:name w:val="xl52"/>
    <w:basedOn w:val="663"/>
    <w:next w:val="755"/>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756">
    <w:name w:val="xl80"/>
    <w:basedOn w:val="663"/>
    <w:next w:val="756"/>
    <w:link w:val="663"/>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757">
    <w:name w:val="xl31"/>
    <w:basedOn w:val="663"/>
    <w:next w:val="757"/>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58">
    <w:name w:val="xl30"/>
    <w:basedOn w:val="663"/>
    <w:next w:val="758"/>
    <w:link w:val="663"/>
    <w:pPr>
      <w:jc w:val="left"/>
      <w:spacing w:before="100" w:beforeAutospacing="1" w:after="100" w:afterAutospacing="1"/>
      <w:widowControl/>
    </w:pPr>
    <w:rPr>
      <w:rFonts w:ascii="宋体" w:hAnsi="宋体" w:eastAsia="宋体"/>
      <w:sz w:val="18"/>
      <w:szCs w:val="18"/>
    </w:rPr>
  </w:style>
  <w:style w:type="paragraph" w:styleId="759">
    <w:name w:val="Default"/>
    <w:next w:val="759"/>
    <w:link w:val="663"/>
    <w:pPr>
      <w:widowControl w:val="off"/>
    </w:pPr>
    <w:rPr>
      <w:rFonts w:ascii="仿宋" w:eastAsia="仿宋" w:cs="仿宋"/>
      <w:color w:val="000000"/>
      <w:sz w:val="24"/>
      <w:szCs w:val="24"/>
      <w:lang w:val="en-US" w:eastAsia="zh-CN" w:bidi="ar-SA"/>
    </w:rPr>
  </w:style>
  <w:style w:type="paragraph" w:styleId="760">
    <w:name w:val="xl34"/>
    <w:basedOn w:val="663"/>
    <w:next w:val="760"/>
    <w:link w:val="663"/>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61">
    <w:name w:val=" Char"/>
    <w:basedOn w:val="673"/>
    <w:next w:val="761"/>
    <w:link w:val="663"/>
    <w:pPr>
      <w:spacing w:line="360" w:lineRule="auto"/>
    </w:pPr>
    <w:rPr>
      <w:rFonts w:ascii="Tahoma" w:hAnsi="Tahoma"/>
      <w:sz w:val="24"/>
    </w:rPr>
  </w:style>
  <w:style w:type="paragraph" w:styleId="762">
    <w:name w:val="font9"/>
    <w:basedOn w:val="663"/>
    <w:next w:val="762"/>
    <w:link w:val="663"/>
    <w:pPr>
      <w:jc w:val="left"/>
      <w:spacing w:before="100" w:beforeAutospacing="1" w:after="100" w:afterAutospacing="1"/>
      <w:widowControl/>
    </w:pPr>
    <w:rPr>
      <w:rFonts w:eastAsia="宋体"/>
      <w:b/>
      <w:bCs/>
      <w:color w:val="000000"/>
      <w:sz w:val="18"/>
      <w:szCs w:val="18"/>
    </w:rPr>
  </w:style>
  <w:style w:type="paragraph" w:styleId="763">
    <w:name w:val="xl58"/>
    <w:basedOn w:val="663"/>
    <w:next w:val="763"/>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64">
    <w:name w:val="xl70"/>
    <w:basedOn w:val="663"/>
    <w:next w:val="764"/>
    <w:link w:val="6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65">
    <w:name w:val="xl28"/>
    <w:basedOn w:val="663"/>
    <w:next w:val="765"/>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66">
    <w:name w:val="xl48"/>
    <w:basedOn w:val="663"/>
    <w:next w:val="766"/>
    <w:link w:val="663"/>
    <w:pPr>
      <w:jc w:val="center"/>
      <w:spacing w:before="100" w:beforeAutospacing="1" w:after="100" w:afterAutospacing="1"/>
      <w:widowControl/>
    </w:pPr>
    <w:rPr>
      <w:rFonts w:ascii="宋体" w:hAnsi="宋体" w:eastAsia="宋体"/>
      <w:sz w:val="28"/>
      <w:szCs w:val="28"/>
    </w:rPr>
  </w:style>
  <w:style w:type="paragraph" w:styleId="767">
    <w:name w:val="font5"/>
    <w:basedOn w:val="663"/>
    <w:next w:val="767"/>
    <w:link w:val="663"/>
    <w:pPr>
      <w:jc w:val="left"/>
      <w:spacing w:before="100" w:beforeAutospacing="1" w:after="100" w:afterAutospacing="1"/>
      <w:widowControl/>
    </w:pPr>
    <w:rPr>
      <w:rFonts w:hint="eastAsia" w:ascii="宋体" w:hAnsi="宋体"/>
      <w:sz w:val="18"/>
      <w:szCs w:val="18"/>
    </w:rPr>
  </w:style>
  <w:style w:type="paragraph" w:styleId="768">
    <w:name w:val="默认段落字体 Para Char Char Char Char Char Char Char Char Char1 Char Char Char Char Char Char Char"/>
    <w:basedOn w:val="673"/>
    <w:next w:val="768"/>
    <w:link w:val="663"/>
    <w:rPr>
      <w:rFonts w:ascii="Tahoma" w:hAnsi="Tahoma"/>
      <w:sz w:val="24"/>
    </w:rPr>
  </w:style>
  <w:style w:type="paragraph" w:styleId="769">
    <w:name w:val="xl66"/>
    <w:basedOn w:val="663"/>
    <w:next w:val="769"/>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70">
    <w:name w:val="font13"/>
    <w:basedOn w:val="663"/>
    <w:next w:val="770"/>
    <w:link w:val="663"/>
    <w:pPr>
      <w:jc w:val="left"/>
      <w:spacing w:before="100" w:beforeAutospacing="1" w:after="100" w:afterAutospacing="1"/>
      <w:widowControl/>
    </w:pPr>
    <w:rPr>
      <w:rFonts w:eastAsia="宋体"/>
      <w:b/>
      <w:bCs/>
      <w:sz w:val="18"/>
      <w:szCs w:val="18"/>
    </w:rPr>
  </w:style>
  <w:style w:type="paragraph" w:styleId="771">
    <w:name w:val="xl83"/>
    <w:basedOn w:val="663"/>
    <w:next w:val="771"/>
    <w:link w:val="663"/>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2">
    <w:name w:val="xl61"/>
    <w:basedOn w:val="663"/>
    <w:next w:val="772"/>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3">
    <w:name w:val="xl76"/>
    <w:basedOn w:val="663"/>
    <w:next w:val="773"/>
    <w:link w:val="663"/>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774">
    <w:name w:val="xl55"/>
    <w:basedOn w:val="663"/>
    <w:next w:val="774"/>
    <w:link w:val="6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75">
    <w:name w:val="xl40"/>
    <w:basedOn w:val="663"/>
    <w:next w:val="775"/>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76">
    <w:name w:val="xl65"/>
    <w:basedOn w:val="663"/>
    <w:next w:val="776"/>
    <w:link w:val="663"/>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777">
    <w:name w:val="xl49"/>
    <w:basedOn w:val="663"/>
    <w:next w:val="777"/>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78">
    <w:name w:val="xl50"/>
    <w:basedOn w:val="663"/>
    <w:next w:val="778"/>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9">
    <w:name w:val="xl82"/>
    <w:basedOn w:val="663"/>
    <w:next w:val="779"/>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780">
    <w:name w:val="正文文本1"/>
    <w:basedOn w:val="663"/>
    <w:next w:val="780"/>
    <w:link w:val="66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81">
    <w:name w:val="[Normal]"/>
    <w:next w:val="781"/>
    <w:link w:val="663"/>
    <w:qFormat/>
    <w:rPr>
      <w:rFonts w:ascii="方正仿宋简体" w:hAnsi="方正仿宋简体" w:eastAsia="方正仿宋简体" w:cs="Courier New"/>
      <w:sz w:val="24"/>
      <w:szCs w:val="22"/>
      <w:lang w:val="zh-CN" w:eastAsia="zh-CN" w:bidi="ar-SA"/>
    </w:rPr>
  </w:style>
  <w:style w:type="paragraph" w:styleId="782">
    <w:name w:val="BodyText1"/>
    <w:basedOn w:val="663"/>
    <w:next w:val="782"/>
    <w:link w:val="663"/>
    <w:qFormat/>
    <w:pPr>
      <w:jc w:val="both"/>
      <w:spacing w:line="60" w:lineRule="auto"/>
    </w:pPr>
    <w:rPr>
      <w:rFonts w:ascii="仿宋" w:hAnsi="Calibri" w:eastAsia="仿宋"/>
      <w:sz w:val="32"/>
      <w:szCs w:val="22"/>
      <w:lang w:val="en-US" w:eastAsia="zh-CN" w:bidi="ar-SA"/>
    </w:rPr>
  </w:style>
  <w:style w:type="paragraph" w:styleId="783">
    <w:name w:val="WPSOffice手动目录 1"/>
    <w:next w:val="783"/>
    <w:link w:val="663"/>
    <w:rPr>
      <w:sz w:val="20"/>
      <w:szCs w:val="20"/>
    </w:rPr>
  </w:style>
  <w:style w:type="paragraph" w:styleId="784">
    <w:name w:val="Table Paragraph"/>
    <w:basedOn w:val="663"/>
    <w:next w:val="784"/>
    <w:link w:val="663"/>
    <w:rPr>
      <w:rFonts w:ascii="宋体" w:hAnsi="宋体" w:eastAsia="宋体" w:cs="宋体"/>
      <w:lang w:val="zh-CN" w:eastAsia="zh-CN" w:bidi="zh-CN"/>
    </w:rPr>
  </w:style>
  <w:style w:type="paragraph" w:styleId="785">
    <w:name w:val="纯文本12"/>
    <w:basedOn w:val="663"/>
    <w:next w:val="785"/>
    <w:link w:val="663"/>
    <w:uiPriority w:val="99"/>
    <w:qFormat/>
    <w:rPr>
      <w:rFonts w:ascii="宋体" w:hAnsi="Courier New"/>
      <w:szCs w:val="20"/>
    </w:rPr>
  </w:style>
  <w:style w:type="paragraph" w:styleId="786">
    <w:name w:val="纯文本1"/>
    <w:basedOn w:val="663"/>
    <w:next w:val="786"/>
    <w:link w:val="663"/>
    <w:qFormat/>
    <w:rPr>
      <w:rFonts w:ascii="宋体" w:hAnsi="Courier New"/>
      <w:szCs w:val="20"/>
    </w:rPr>
  </w:style>
  <w:style w:type="table" w:styleId="787">
    <w:name w:val="网格型1"/>
    <w:basedOn w:val="788"/>
    <w:next w:val="787"/>
    <w:link w:val="663"/>
    <w:qFormat/>
    <w:pPr>
      <w:jc w:val="both"/>
      <w:widowControl w:val="off"/>
    </w:pPr>
    <w:rPr>
      <w:rFonts w:ascii="Times New Roman" w:hAnsi="Times New Roman"/>
    </w:rPr>
    <w:tblPr/>
  </w:style>
  <w:style w:type="table" w:styleId="788">
    <w:name w:val="普通表格1"/>
    <w:next w:val="788"/>
    <w:link w:val="663"/>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789">
    <w:name w:val="正文格式－文字"/>
    <w:next w:val="789"/>
    <w:link w:val="663"/>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28468" w:default="1">
    <w:name w:val="Default Paragraph Font"/>
    <w:uiPriority w:val="1"/>
    <w:semiHidden/>
    <w:unhideWhenUsed/>
  </w:style>
  <w:style w:type="numbering" w:styleId="28469" w:default="1">
    <w:name w:val="No List"/>
    <w:uiPriority w:val="99"/>
    <w:semiHidden/>
    <w:unhideWhenUsed/>
  </w:style>
  <w:style w:type="table" w:styleId="284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陈建京</cp:lastModifiedBy>
  <cp:revision>5</cp:revision>
  <dcterms:created xsi:type="dcterms:W3CDTF">2024-02-28T03:16:00Z</dcterms:created>
  <dcterms:modified xsi:type="dcterms:W3CDTF">2026-01-27T08:31:03Z</dcterms:modified>
</cp:coreProperties>
</file>